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D052B7">
      <w:pPr>
        <w:adjustRightInd w:val="0"/>
        <w:snapToGrid w:val="0"/>
        <w:spacing w:line="600" w:lineRule="auto"/>
        <w:jc w:val="left"/>
        <w:rPr>
          <w:rFonts w:hint="eastAsia" w:ascii="仿宋" w:hAnsi="仿宋" w:eastAsia="仿宋" w:cs="仿宋"/>
          <w:b/>
          <w:color w:val="auto"/>
          <w:spacing w:val="0"/>
          <w:w w:val="120"/>
          <w:position w:val="0"/>
          <w:sz w:val="28"/>
          <w:szCs w:val="28"/>
        </w:rPr>
      </w:pPr>
      <w:bookmarkStart w:id="0" w:name="_Toc21766"/>
      <w:bookmarkStart w:id="1" w:name="_Toc9804"/>
    </w:p>
    <w:p w14:paraId="13C1EB2F">
      <w:pPr>
        <w:adjustRightInd w:val="0"/>
        <w:snapToGrid w:val="0"/>
        <w:spacing w:line="600" w:lineRule="auto"/>
        <w:jc w:val="left"/>
        <w:rPr>
          <w:rFonts w:hint="eastAsia" w:ascii="仿宋" w:hAnsi="仿宋" w:eastAsia="仿宋" w:cs="仿宋"/>
          <w:b/>
          <w:color w:val="auto"/>
          <w:spacing w:val="0"/>
          <w:w w:val="120"/>
          <w:position w:val="0"/>
          <w:sz w:val="28"/>
          <w:szCs w:val="28"/>
        </w:rPr>
      </w:pPr>
      <w:r>
        <w:rPr>
          <w:rFonts w:hint="eastAsia" w:ascii="仿宋" w:hAnsi="仿宋" w:eastAsia="仿宋" w:cs="仿宋"/>
          <w:b/>
          <w:color w:val="auto"/>
          <w:spacing w:val="0"/>
          <w:w w:val="120"/>
          <w:position w:val="0"/>
          <w:sz w:val="28"/>
          <w:szCs w:val="28"/>
        </w:rPr>
        <w:t>项目编号：</w:t>
      </w:r>
      <w:r>
        <w:rPr>
          <w:rFonts w:hint="eastAsia" w:ascii="仿宋" w:hAnsi="仿宋" w:eastAsia="仿宋" w:cs="仿宋"/>
          <w:b/>
          <w:color w:val="auto"/>
          <w:spacing w:val="0"/>
          <w:w w:val="120"/>
          <w:position w:val="0"/>
          <w:sz w:val="28"/>
          <w:szCs w:val="28"/>
          <w:lang w:val="en-US" w:eastAsia="zh-CN"/>
        </w:rPr>
        <w:t>******************</w:t>
      </w:r>
      <w:r>
        <w:rPr>
          <w:rFonts w:hint="eastAsia" w:ascii="仿宋" w:hAnsi="仿宋" w:eastAsia="仿宋" w:cs="仿宋"/>
          <w:b/>
          <w:color w:val="auto"/>
          <w:spacing w:val="0"/>
          <w:w w:val="120"/>
          <w:position w:val="0"/>
          <w:sz w:val="28"/>
          <w:szCs w:val="28"/>
        </w:rPr>
        <w:t xml:space="preserve">     （正本或副本）</w:t>
      </w:r>
    </w:p>
    <w:p w14:paraId="3854B966">
      <w:pPr>
        <w:adjustRightInd w:val="0"/>
        <w:snapToGrid w:val="0"/>
        <w:spacing w:line="600" w:lineRule="auto"/>
        <w:jc w:val="center"/>
        <w:rPr>
          <w:rFonts w:hint="eastAsia" w:ascii="仿宋" w:hAnsi="仿宋" w:eastAsia="仿宋" w:cs="仿宋"/>
          <w:b/>
          <w:color w:val="auto"/>
          <w:spacing w:val="0"/>
          <w:position w:val="0"/>
          <w:sz w:val="48"/>
          <w:szCs w:val="48"/>
        </w:rPr>
      </w:pPr>
      <w:r>
        <w:rPr>
          <w:rFonts w:hint="eastAsia" w:ascii="仿宋" w:hAnsi="仿宋" w:eastAsia="仿宋" w:cs="仿宋"/>
          <w:b/>
          <w:color w:val="auto"/>
          <w:spacing w:val="0"/>
          <w:position w:val="0"/>
          <w:sz w:val="48"/>
          <w:szCs w:val="48"/>
          <w:lang w:val="en-US" w:eastAsia="zh-CN"/>
        </w:rPr>
        <w:t>***************</w:t>
      </w:r>
      <w:r>
        <w:rPr>
          <w:rFonts w:hint="eastAsia" w:ascii="仿宋" w:hAnsi="仿宋" w:eastAsia="仿宋" w:cs="仿宋"/>
          <w:b/>
          <w:color w:val="auto"/>
          <w:spacing w:val="0"/>
          <w:position w:val="0"/>
          <w:sz w:val="48"/>
          <w:szCs w:val="48"/>
        </w:rPr>
        <w:t>工程</w:t>
      </w:r>
    </w:p>
    <w:p w14:paraId="5561C2A2">
      <w:pPr>
        <w:adjustRightInd w:val="0"/>
        <w:snapToGrid w:val="0"/>
        <w:spacing w:line="600" w:lineRule="auto"/>
        <w:jc w:val="center"/>
        <w:rPr>
          <w:rFonts w:hint="eastAsia" w:ascii="仿宋" w:hAnsi="仿宋" w:eastAsia="仿宋" w:cs="仿宋"/>
          <w:b/>
          <w:color w:val="auto"/>
          <w:spacing w:val="0"/>
          <w:position w:val="0"/>
          <w:sz w:val="52"/>
          <w:szCs w:val="52"/>
          <w:lang w:eastAsia="zh-CN"/>
        </w:rPr>
      </w:pPr>
      <w:r>
        <w:rPr>
          <w:rFonts w:hint="eastAsia" w:ascii="仿宋" w:hAnsi="仿宋" w:eastAsia="仿宋" w:cs="仿宋"/>
          <w:b/>
          <w:color w:val="auto"/>
          <w:spacing w:val="0"/>
          <w:position w:val="0"/>
          <w:sz w:val="52"/>
          <w:szCs w:val="52"/>
          <w:lang w:val="en-US" w:eastAsia="zh-CN"/>
        </w:rPr>
        <w:t>投</w:t>
      </w:r>
    </w:p>
    <w:p w14:paraId="5E84699E">
      <w:pPr>
        <w:adjustRightInd w:val="0"/>
        <w:snapToGrid w:val="0"/>
        <w:spacing w:line="600" w:lineRule="auto"/>
        <w:jc w:val="center"/>
        <w:rPr>
          <w:rFonts w:hint="eastAsia" w:ascii="仿宋" w:hAnsi="仿宋" w:eastAsia="仿宋" w:cs="仿宋"/>
          <w:b/>
          <w:color w:val="auto"/>
          <w:spacing w:val="0"/>
          <w:position w:val="0"/>
          <w:sz w:val="52"/>
          <w:szCs w:val="52"/>
          <w:lang w:eastAsia="zh-CN"/>
        </w:rPr>
      </w:pPr>
      <w:r>
        <w:rPr>
          <w:rFonts w:hint="eastAsia" w:ascii="仿宋" w:hAnsi="仿宋" w:eastAsia="仿宋" w:cs="仿宋"/>
          <w:b/>
          <w:color w:val="auto"/>
          <w:spacing w:val="0"/>
          <w:position w:val="0"/>
          <w:sz w:val="52"/>
          <w:szCs w:val="52"/>
          <w:lang w:val="en-US" w:eastAsia="zh-CN"/>
        </w:rPr>
        <w:t>标</w:t>
      </w:r>
    </w:p>
    <w:p w14:paraId="54C56B1D">
      <w:pPr>
        <w:adjustRightInd w:val="0"/>
        <w:snapToGrid w:val="0"/>
        <w:spacing w:line="600" w:lineRule="auto"/>
        <w:jc w:val="center"/>
        <w:rPr>
          <w:rFonts w:hint="eastAsia" w:ascii="仿宋" w:hAnsi="仿宋" w:eastAsia="仿宋" w:cs="仿宋"/>
          <w:b/>
          <w:color w:val="auto"/>
          <w:spacing w:val="0"/>
          <w:position w:val="0"/>
          <w:sz w:val="52"/>
          <w:szCs w:val="52"/>
        </w:rPr>
      </w:pPr>
      <w:r>
        <w:rPr>
          <w:rFonts w:hint="eastAsia" w:ascii="仿宋" w:hAnsi="仿宋" w:eastAsia="仿宋" w:cs="仿宋"/>
          <w:b/>
          <w:color w:val="auto"/>
          <w:spacing w:val="0"/>
          <w:position w:val="0"/>
          <w:sz w:val="52"/>
          <w:szCs w:val="52"/>
        </w:rPr>
        <w:t>文</w:t>
      </w:r>
    </w:p>
    <w:p w14:paraId="5DBA2AE5">
      <w:pPr>
        <w:adjustRightInd w:val="0"/>
        <w:snapToGrid w:val="0"/>
        <w:spacing w:line="600" w:lineRule="auto"/>
        <w:jc w:val="center"/>
        <w:rPr>
          <w:rFonts w:hint="eastAsia" w:ascii="仿宋" w:hAnsi="仿宋" w:eastAsia="仿宋" w:cs="仿宋"/>
          <w:color w:val="auto"/>
          <w:spacing w:val="0"/>
          <w:position w:val="0"/>
          <w:sz w:val="52"/>
          <w:szCs w:val="52"/>
        </w:rPr>
      </w:pPr>
      <w:r>
        <w:rPr>
          <w:rFonts w:hint="eastAsia" w:ascii="仿宋" w:hAnsi="仿宋" w:eastAsia="仿宋" w:cs="仿宋"/>
          <w:b/>
          <w:color w:val="auto"/>
          <w:spacing w:val="0"/>
          <w:position w:val="0"/>
          <w:sz w:val="52"/>
          <w:szCs w:val="52"/>
        </w:rPr>
        <w:t>件</w:t>
      </w:r>
    </w:p>
    <w:p w14:paraId="5AAF5AB8">
      <w:pPr>
        <w:snapToGrid w:val="0"/>
        <w:spacing w:line="600" w:lineRule="auto"/>
        <w:ind w:firstLine="640" w:firstLineChars="200"/>
        <w:jc w:val="left"/>
        <w:rPr>
          <w:rFonts w:hint="eastAsia" w:ascii="仿宋" w:hAnsi="仿宋" w:eastAsia="仿宋" w:cs="仿宋"/>
          <w:color w:val="auto"/>
          <w:spacing w:val="0"/>
          <w:position w:val="0"/>
          <w:sz w:val="32"/>
          <w:szCs w:val="32"/>
        </w:rPr>
      </w:pPr>
    </w:p>
    <w:p w14:paraId="2F2E348F">
      <w:pPr>
        <w:snapToGrid w:val="0"/>
        <w:spacing w:line="600" w:lineRule="auto"/>
        <w:jc w:val="left"/>
        <w:rPr>
          <w:rFonts w:hint="eastAsia" w:ascii="仿宋" w:hAnsi="仿宋" w:eastAsia="仿宋" w:cs="仿宋"/>
          <w:color w:val="auto"/>
          <w:spacing w:val="0"/>
          <w:position w:val="0"/>
          <w:sz w:val="32"/>
          <w:szCs w:val="32"/>
          <w:u w:val="single"/>
          <w:lang w:val="en-US" w:eastAsia="zh-CN"/>
        </w:rPr>
      </w:pPr>
      <w:r>
        <w:rPr>
          <w:rFonts w:hint="eastAsia" w:ascii="仿宋" w:hAnsi="仿宋" w:eastAsia="仿宋" w:cs="仿宋"/>
          <w:color w:val="auto"/>
          <w:spacing w:val="0"/>
          <w:position w:val="0"/>
          <w:sz w:val="32"/>
          <w:szCs w:val="32"/>
          <w:lang w:val="zh-CN"/>
        </w:rPr>
        <w:t>单位名称及公章：</w:t>
      </w:r>
      <w:r>
        <w:rPr>
          <w:rFonts w:hint="eastAsia" w:ascii="仿宋" w:hAnsi="仿宋" w:eastAsia="仿宋" w:cs="仿宋"/>
          <w:color w:val="auto"/>
          <w:spacing w:val="0"/>
          <w:position w:val="0"/>
          <w:sz w:val="32"/>
          <w:szCs w:val="32"/>
          <w:lang w:val="en-US" w:eastAsia="zh-CN"/>
        </w:rPr>
        <w:t>*******建设工程有限公司</w:t>
      </w:r>
    </w:p>
    <w:p w14:paraId="5710EFE7">
      <w:pPr>
        <w:snapToGrid w:val="0"/>
        <w:spacing w:line="600" w:lineRule="auto"/>
        <w:ind w:left="638" w:leftChars="304"/>
        <w:jc w:val="left"/>
        <w:rPr>
          <w:rFonts w:hint="eastAsia" w:ascii="仿宋" w:hAnsi="仿宋" w:eastAsia="仿宋" w:cs="仿宋"/>
          <w:color w:val="auto"/>
          <w:spacing w:val="0"/>
          <w:position w:val="0"/>
          <w:sz w:val="32"/>
          <w:szCs w:val="32"/>
          <w:lang w:val="en-US" w:eastAsia="zh-CN"/>
        </w:rPr>
      </w:pPr>
      <w:r>
        <w:rPr>
          <w:rFonts w:hint="eastAsia" w:ascii="仿宋" w:hAnsi="仿宋" w:eastAsia="仿宋" w:cs="仿宋"/>
          <w:color w:val="auto"/>
          <w:spacing w:val="0"/>
          <w:position w:val="0"/>
          <w:sz w:val="32"/>
          <w:szCs w:val="32"/>
        </w:rPr>
        <w:t>日   期</w:t>
      </w:r>
      <w:r>
        <w:rPr>
          <w:rFonts w:hint="eastAsia" w:ascii="仿宋" w:hAnsi="仿宋" w:eastAsia="仿宋" w:cs="仿宋"/>
          <w:color w:val="auto"/>
          <w:spacing w:val="0"/>
          <w:position w:val="0"/>
          <w:sz w:val="32"/>
          <w:szCs w:val="32"/>
          <w:lang w:val="zh-CN"/>
        </w:rPr>
        <w:t>：</w:t>
      </w:r>
      <w:r>
        <w:rPr>
          <w:rFonts w:hint="eastAsia" w:ascii="仿宋" w:hAnsi="仿宋" w:eastAsia="仿宋" w:cs="仿宋"/>
          <w:color w:val="auto"/>
          <w:spacing w:val="0"/>
          <w:position w:val="0"/>
          <w:sz w:val="32"/>
          <w:szCs w:val="32"/>
          <w:lang w:val="en-US" w:eastAsia="zh-CN"/>
        </w:rPr>
        <w:t>20</w:t>
      </w:r>
      <w:r>
        <w:rPr>
          <w:rFonts w:hint="eastAsia" w:ascii="仿宋" w:hAnsi="仿宋" w:eastAsia="仿宋" w:cs="仿宋"/>
          <w:b/>
          <w:color w:val="auto"/>
          <w:spacing w:val="0"/>
          <w:position w:val="0"/>
          <w:sz w:val="48"/>
          <w:szCs w:val="48"/>
          <w:lang w:val="en-US" w:eastAsia="zh-CN"/>
        </w:rPr>
        <w:t>**</w:t>
      </w:r>
      <w:r>
        <w:rPr>
          <w:rFonts w:hint="eastAsia" w:ascii="仿宋" w:hAnsi="仿宋" w:eastAsia="仿宋" w:cs="仿宋"/>
          <w:color w:val="auto"/>
          <w:spacing w:val="0"/>
          <w:position w:val="0"/>
          <w:sz w:val="32"/>
          <w:szCs w:val="32"/>
          <w:lang w:val="en-US" w:eastAsia="zh-CN"/>
        </w:rPr>
        <w:t>年</w:t>
      </w:r>
      <w:r>
        <w:rPr>
          <w:rFonts w:hint="eastAsia" w:ascii="仿宋" w:hAnsi="仿宋" w:eastAsia="仿宋" w:cs="仿宋"/>
          <w:b/>
          <w:color w:val="auto"/>
          <w:spacing w:val="0"/>
          <w:position w:val="0"/>
          <w:sz w:val="48"/>
          <w:szCs w:val="48"/>
          <w:lang w:val="en-US" w:eastAsia="zh-CN"/>
        </w:rPr>
        <w:t>**</w:t>
      </w:r>
      <w:r>
        <w:rPr>
          <w:rFonts w:hint="eastAsia" w:ascii="仿宋" w:hAnsi="仿宋" w:eastAsia="仿宋" w:cs="仿宋"/>
          <w:color w:val="auto"/>
          <w:spacing w:val="0"/>
          <w:position w:val="0"/>
          <w:sz w:val="32"/>
          <w:szCs w:val="32"/>
          <w:lang w:val="en-US" w:eastAsia="zh-CN"/>
        </w:rPr>
        <w:t>月</w:t>
      </w:r>
      <w:r>
        <w:rPr>
          <w:rFonts w:hint="eastAsia" w:ascii="仿宋" w:hAnsi="仿宋" w:eastAsia="仿宋" w:cs="仿宋"/>
          <w:b/>
          <w:color w:val="auto"/>
          <w:spacing w:val="0"/>
          <w:position w:val="0"/>
          <w:sz w:val="48"/>
          <w:szCs w:val="48"/>
          <w:lang w:val="en-US" w:eastAsia="zh-CN"/>
        </w:rPr>
        <w:t>**</w:t>
      </w:r>
      <w:r>
        <w:rPr>
          <w:rFonts w:hint="eastAsia" w:ascii="仿宋" w:hAnsi="仿宋" w:eastAsia="仿宋" w:cs="仿宋"/>
          <w:color w:val="auto"/>
          <w:spacing w:val="0"/>
          <w:position w:val="0"/>
          <w:sz w:val="32"/>
          <w:szCs w:val="32"/>
          <w:lang w:val="en-US" w:eastAsia="zh-CN"/>
        </w:rPr>
        <w:t>日</w:t>
      </w:r>
    </w:p>
    <w:p w14:paraId="3AE168AD">
      <w:pPr>
        <w:spacing w:line="600" w:lineRule="auto"/>
        <w:rPr>
          <w:rFonts w:hint="eastAsia" w:ascii="仿宋" w:hAnsi="仿宋" w:eastAsia="仿宋" w:cs="仿宋"/>
          <w:b/>
          <w:bCs/>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br w:type="page"/>
      </w:r>
    </w:p>
    <w:p w14:paraId="0D5122EF">
      <w:pPr>
        <w:spacing w:line="600" w:lineRule="auto"/>
        <w:jc w:val="center"/>
        <w:rPr>
          <w:rFonts w:hint="eastAsia" w:ascii="仿宋" w:hAnsi="仿宋" w:eastAsia="仿宋" w:cs="仿宋"/>
          <w:b/>
          <w:bCs/>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目录</w:t>
      </w:r>
    </w:p>
    <w:p w14:paraId="20D441AD">
      <w:pPr>
        <w:spacing w:line="600" w:lineRule="auto"/>
        <w:rPr>
          <w:rFonts w:hint="eastAsia" w:ascii="仿宋" w:hAnsi="仿宋" w:eastAsia="仿宋" w:cs="仿宋"/>
          <w:b/>
          <w:bCs/>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br w:type="page"/>
      </w:r>
    </w:p>
    <w:p w14:paraId="49BEA848">
      <w:pPr>
        <w:pStyle w:val="2"/>
        <w:bidi w:val="0"/>
        <w:spacing w:line="600" w:lineRule="auto"/>
        <w:rPr>
          <w:rFonts w:hint="eastAsia" w:ascii="仿宋" w:hAnsi="仿宋" w:eastAsia="仿宋" w:cs="仿宋"/>
          <w:b/>
          <w:bCs/>
          <w:color w:val="auto"/>
        </w:rPr>
      </w:pPr>
      <w:bookmarkStart w:id="2" w:name="_Toc12206"/>
      <w:bookmarkStart w:id="63" w:name="_GoBack"/>
      <w:bookmarkEnd w:id="63"/>
      <w:r>
        <w:rPr>
          <w:rFonts w:hint="eastAsia" w:ascii="仿宋" w:hAnsi="仿宋" w:eastAsia="仿宋" w:cs="仿宋"/>
          <w:b/>
          <w:bCs/>
          <w:color w:val="auto"/>
        </w:rPr>
        <w:t>第五部分  投标方案</w:t>
      </w:r>
      <w:bookmarkEnd w:id="2"/>
    </w:p>
    <w:p w14:paraId="5D3B9BC1">
      <w:pPr>
        <w:spacing w:before="78" w:line="600" w:lineRule="auto"/>
        <w:ind w:left="26" w:right="13" w:firstLine="477"/>
        <w:jc w:val="both"/>
        <w:rPr>
          <w:rFonts w:hint="eastAsia" w:ascii="仿宋" w:hAnsi="仿宋" w:eastAsia="仿宋" w:cs="仿宋"/>
          <w:b/>
          <w:bCs/>
          <w:color w:val="auto"/>
          <w:sz w:val="28"/>
          <w:szCs w:val="28"/>
        </w:rPr>
      </w:pPr>
      <w:r>
        <w:rPr>
          <w:rFonts w:hint="eastAsia" w:ascii="仿宋" w:hAnsi="仿宋" w:eastAsia="仿宋" w:cs="仿宋"/>
          <w:b/>
          <w:bCs/>
          <w:color w:val="auto"/>
          <w:spacing w:val="-4"/>
          <w:sz w:val="28"/>
          <w:szCs w:val="28"/>
        </w:rPr>
        <w:t>供应商按招标文件的要求，依据评审方法“评标因素及权重分值表</w:t>
      </w:r>
      <w:r>
        <w:rPr>
          <w:rFonts w:hint="eastAsia" w:ascii="仿宋" w:hAnsi="仿宋" w:eastAsia="仿宋" w:cs="仿宋"/>
          <w:b/>
          <w:bCs/>
          <w:color w:val="auto"/>
          <w:spacing w:val="-5"/>
          <w:sz w:val="28"/>
          <w:szCs w:val="28"/>
        </w:rPr>
        <w:t>”相关内</w:t>
      </w:r>
      <w:r>
        <w:rPr>
          <w:rFonts w:hint="eastAsia" w:ascii="仿宋" w:hAnsi="仿宋" w:eastAsia="仿宋" w:cs="仿宋"/>
          <w:b/>
          <w:bCs/>
          <w:color w:val="auto"/>
          <w:spacing w:val="-3"/>
          <w:sz w:val="28"/>
          <w:szCs w:val="28"/>
        </w:rPr>
        <w:t>容编写，格式自拟，评标因素及权重分值表要求内容，在投标方案说明书中</w:t>
      </w:r>
      <w:r>
        <w:rPr>
          <w:rFonts w:hint="eastAsia" w:ascii="仿宋" w:hAnsi="仿宋" w:eastAsia="仿宋" w:cs="仿宋"/>
          <w:b/>
          <w:bCs/>
          <w:color w:val="auto"/>
          <w:spacing w:val="-4"/>
          <w:sz w:val="28"/>
          <w:szCs w:val="28"/>
        </w:rPr>
        <w:t>必须</w:t>
      </w:r>
      <w:r>
        <w:rPr>
          <w:rFonts w:hint="eastAsia" w:ascii="仿宋" w:hAnsi="仿宋" w:eastAsia="仿宋" w:cs="仿宋"/>
          <w:b/>
          <w:bCs/>
          <w:color w:val="auto"/>
          <w:spacing w:val="-2"/>
          <w:sz w:val="28"/>
          <w:szCs w:val="28"/>
        </w:rPr>
        <w:t>逐项对应编制。</w:t>
      </w:r>
    </w:p>
    <w:p w14:paraId="66F3451D">
      <w:pPr>
        <w:keepNext w:val="0"/>
        <w:keepLines w:val="0"/>
        <w:widowControl/>
        <w:suppressLineNumbers w:val="0"/>
        <w:spacing w:line="600" w:lineRule="auto"/>
        <w:ind w:left="0" w:leftChars="0" w:firstLine="0" w:firstLineChars="0"/>
        <w:jc w:val="center"/>
        <w:outlineLvl w:val="1"/>
        <w:rPr>
          <w:rFonts w:hint="eastAsia" w:ascii="仿宋" w:hAnsi="仿宋" w:eastAsia="仿宋" w:cs="仿宋"/>
          <w:color w:val="auto"/>
          <w:sz w:val="28"/>
          <w:szCs w:val="28"/>
        </w:rPr>
      </w:pPr>
      <w:r>
        <w:rPr>
          <w:rFonts w:hint="eastAsia" w:ascii="仿宋" w:hAnsi="仿宋" w:eastAsia="仿宋" w:cs="仿宋"/>
          <w:b/>
          <w:bCs/>
          <w:color w:val="auto"/>
          <w:kern w:val="0"/>
          <w:sz w:val="28"/>
          <w:szCs w:val="28"/>
          <w:lang w:val="en-US" w:eastAsia="zh-CN" w:bidi="ar"/>
        </w:rPr>
        <w:t>第一章：工程质量的技术组织措施</w:t>
      </w:r>
      <w:bookmarkEnd w:id="0"/>
    </w:p>
    <w:p w14:paraId="7B8B8971">
      <w:pPr>
        <w:keepNext w:val="0"/>
        <w:keepLines w:val="0"/>
        <w:pageBreakBefore w:val="0"/>
        <w:widowControl/>
        <w:kinsoku/>
        <w:wordWrap/>
        <w:overflowPunct/>
        <w:bidi w:val="0"/>
        <w:spacing w:before="0" w:beforeLines="0" w:beforeAutospacing="0" w:after="0" w:afterLines="0" w:afterAutospacing="0" w:line="600" w:lineRule="auto"/>
        <w:ind w:firstLine="562" w:firstLineChars="200"/>
        <w:jc w:val="both"/>
        <w:outlineLvl w:val="2"/>
        <w:rPr>
          <w:rFonts w:hint="eastAsia" w:ascii="仿宋" w:hAnsi="仿宋" w:eastAsia="仿宋" w:cs="仿宋"/>
          <w:b/>
          <w:color w:val="auto"/>
          <w:kern w:val="2"/>
          <w:sz w:val="28"/>
          <w:szCs w:val="28"/>
          <w:lang w:val="en-US" w:eastAsia="zh-CN" w:bidi="ar-SA"/>
        </w:rPr>
      </w:pPr>
      <w:bookmarkStart w:id="3" w:name="_Toc71964012"/>
      <w:bookmarkStart w:id="4" w:name="_Toc44142069"/>
      <w:r>
        <w:rPr>
          <w:rFonts w:hint="eastAsia" w:ascii="仿宋" w:hAnsi="仿宋" w:eastAsia="仿宋" w:cs="仿宋"/>
          <w:b/>
          <w:color w:val="auto"/>
          <w:kern w:val="2"/>
          <w:sz w:val="28"/>
          <w:szCs w:val="28"/>
          <w:lang w:val="en-US" w:eastAsia="zh-CN" w:bidi="ar-SA"/>
        </w:rPr>
        <w:t>第一节、工程质量</w:t>
      </w:r>
      <w:bookmarkEnd w:id="3"/>
      <w:r>
        <w:rPr>
          <w:rFonts w:hint="eastAsia" w:ascii="仿宋" w:hAnsi="仿宋" w:eastAsia="仿宋" w:cs="仿宋"/>
          <w:b/>
          <w:color w:val="auto"/>
          <w:kern w:val="2"/>
          <w:sz w:val="28"/>
          <w:szCs w:val="28"/>
          <w:lang w:val="en-US" w:eastAsia="zh-CN" w:bidi="ar-SA"/>
        </w:rPr>
        <w:t>目标</w:t>
      </w:r>
      <w:bookmarkEnd w:id="4"/>
    </w:p>
    <w:p w14:paraId="4C84017F">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b/>
          <w:color w:val="auto"/>
          <w:kern w:val="2"/>
          <w:sz w:val="28"/>
          <w:szCs w:val="28"/>
          <w:lang w:val="en-US" w:eastAsia="zh-CN" w:bidi="ar-SA"/>
        </w:rPr>
      </w:pPr>
      <w:r>
        <w:rPr>
          <w:rFonts w:hint="eastAsia" w:ascii="仿宋" w:hAnsi="仿宋" w:eastAsia="仿宋" w:cs="仿宋"/>
          <w:snapToGrid w:val="0"/>
          <w:color w:val="auto"/>
          <w:kern w:val="2"/>
          <w:sz w:val="28"/>
          <w:szCs w:val="28"/>
          <w:lang w:val="en-US" w:eastAsia="en-US" w:bidi="ar-SA"/>
        </w:rPr>
        <w:t>合格标准，符合国家、行业、地方规定以及</w:t>
      </w:r>
      <w:r>
        <w:rPr>
          <w:rFonts w:hint="eastAsia" w:ascii="仿宋" w:hAnsi="仿宋" w:eastAsia="仿宋" w:cs="仿宋"/>
          <w:snapToGrid w:val="0"/>
          <w:color w:val="auto"/>
          <w:kern w:val="2"/>
          <w:sz w:val="28"/>
          <w:szCs w:val="28"/>
          <w:lang w:val="en-US" w:eastAsia="zh-CN" w:bidi="ar-SA"/>
        </w:rPr>
        <w:t>招标文件、合同</w:t>
      </w:r>
      <w:r>
        <w:rPr>
          <w:rFonts w:hint="eastAsia" w:ascii="仿宋" w:hAnsi="仿宋" w:eastAsia="仿宋" w:cs="仿宋"/>
          <w:snapToGrid w:val="0"/>
          <w:color w:val="auto"/>
          <w:kern w:val="2"/>
          <w:sz w:val="28"/>
          <w:szCs w:val="28"/>
          <w:lang w:val="en-US" w:eastAsia="en-US" w:bidi="ar-SA"/>
        </w:rPr>
        <w:t>规定标准要求，达到招标人认可。</w:t>
      </w:r>
    </w:p>
    <w:p w14:paraId="58548677">
      <w:pPr>
        <w:keepNext w:val="0"/>
        <w:keepLines w:val="0"/>
        <w:pageBreakBefore w:val="0"/>
        <w:widowControl/>
        <w:kinsoku/>
        <w:wordWrap/>
        <w:overflowPunct/>
        <w:bidi w:val="0"/>
        <w:spacing w:before="0" w:beforeLines="0" w:beforeAutospacing="0" w:after="0" w:afterLines="0" w:afterAutospacing="0" w:line="600" w:lineRule="auto"/>
        <w:ind w:firstLine="562" w:firstLineChars="200"/>
        <w:jc w:val="both"/>
        <w:outlineLvl w:val="2"/>
        <w:rPr>
          <w:rFonts w:hint="eastAsia" w:ascii="仿宋" w:hAnsi="仿宋" w:eastAsia="仿宋" w:cs="仿宋"/>
          <w:b/>
          <w:color w:val="auto"/>
          <w:kern w:val="2"/>
          <w:sz w:val="28"/>
          <w:szCs w:val="28"/>
          <w:lang w:val="en-US" w:eastAsia="zh-CN" w:bidi="ar-SA"/>
        </w:rPr>
      </w:pPr>
      <w:bookmarkStart w:id="5" w:name="_Toc44142070"/>
      <w:r>
        <w:rPr>
          <w:rFonts w:hint="eastAsia" w:ascii="仿宋" w:hAnsi="仿宋" w:eastAsia="仿宋" w:cs="仿宋"/>
          <w:b/>
          <w:color w:val="auto"/>
          <w:kern w:val="2"/>
          <w:sz w:val="28"/>
          <w:szCs w:val="28"/>
          <w:lang w:val="en-US" w:eastAsia="zh-CN" w:bidi="ar-SA"/>
        </w:rPr>
        <w:t>第二节、制定质量管理责任制</w:t>
      </w:r>
      <w:bookmarkEnd w:id="5"/>
    </w:p>
    <w:p w14:paraId="5170C682">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我公司在本标段的施工工期编制中，综合考虑了各因素发生的可能性，同时为了排除各干扰因素对工程进度的影响，确保工程进度计划的顺利实现，采取六大控制措施：组织措施、技术措施、管理措施、经济措施、信息管理措施、合同措施及违约处罚措施。</w:t>
      </w:r>
    </w:p>
    <w:p w14:paraId="4262BB7D">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1.建立由公司经理领导、项目经理中间控制，质检员基层检查三级管理系统。形成一个横向从种植各分项目，纵向从经理到生产班组的质量管理网络。</w:t>
      </w:r>
    </w:p>
    <w:p w14:paraId="512850BB">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根据本工程的特点及质量要求的难点，决定成立以项目经理为组长；专职质检员为副组长；有关工程技术管理人员及各主要作业层骨干为成员的全面质量管理领导小组，对主要工程及工程中高难度的分项，p（计划）、d（实施）、c（检查）、a（处理）工作程循环，不断地提高工程质量。</w:t>
      </w:r>
    </w:p>
    <w:p w14:paraId="5CC681B9">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3.质量保证管理体系见下页。</w:t>
      </w:r>
    </w:p>
    <w:p w14:paraId="024F71CB">
      <w:pPr>
        <w:keepNext w:val="0"/>
        <w:keepLines w:val="0"/>
        <w:pageBreakBefore w:val="0"/>
        <w:widowControl/>
        <w:kinsoku/>
        <w:wordWrap/>
        <w:overflowPunct/>
        <w:bidi w:val="0"/>
        <w:spacing w:after="0" w:line="600" w:lineRule="auto"/>
        <w:jc w:val="center"/>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mc:AlternateContent>
          <mc:Choice Requires="wpg">
            <w:drawing>
              <wp:inline distT="0" distB="0" distL="114300" distR="114300">
                <wp:extent cx="5372100" cy="3529965"/>
                <wp:effectExtent l="4445" t="4445" r="14605" b="8890"/>
                <wp:docPr id="2" name="组合 2"/>
                <wp:cNvGraphicFramePr/>
                <a:graphic xmlns:a="http://schemas.openxmlformats.org/drawingml/2006/main">
                  <a:graphicData uri="http://schemas.microsoft.com/office/word/2010/wordprocessingGroup">
                    <wpg:wgp>
                      <wpg:cNvGrpSpPr/>
                      <wpg:grpSpPr>
                        <a:xfrm>
                          <a:off x="0" y="0"/>
                          <a:ext cx="5372100" cy="3529965"/>
                          <a:chOff x="0" y="0"/>
                          <a:chExt cx="8580" cy="7817"/>
                        </a:xfrm>
                      </wpg:grpSpPr>
                      <wps:wsp>
                        <wps:cNvPr id="4" name="矩形 1"/>
                        <wps:cNvSpPr/>
                        <wps:spPr>
                          <a:xfrm>
                            <a:off x="2520" y="205"/>
                            <a:ext cx="2340" cy="592"/>
                          </a:xfrm>
                          <a:prstGeom prst="rect">
                            <a:avLst/>
                          </a:prstGeom>
                          <a:noFill/>
                          <a:ln w="6350" cap="flat" cmpd="sng">
                            <a:solidFill>
                              <a:srgbClr val="000000"/>
                            </a:solidFill>
                            <a:prstDash val="solid"/>
                            <a:miter/>
                            <a:headEnd type="none" w="med" len="med"/>
                            <a:tailEnd type="none" w="med" len="med"/>
                          </a:ln>
                        </wps:spPr>
                        <wps:txbx>
                          <w:txbxContent>
                            <w:p w14:paraId="344B876D">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总部服务控制</w:t>
                              </w:r>
                            </w:p>
                          </w:txbxContent>
                        </wps:txbx>
                        <wps:bodyPr lIns="12700" tIns="12700" rIns="12700" bIns="12700" upright="1"/>
                      </wps:wsp>
                      <wps:wsp>
                        <wps:cNvPr id="5" name="矩形 2"/>
                        <wps:cNvSpPr/>
                        <wps:spPr>
                          <a:xfrm>
                            <a:off x="2700" y="1320"/>
                            <a:ext cx="1975" cy="569"/>
                          </a:xfrm>
                          <a:prstGeom prst="rect">
                            <a:avLst/>
                          </a:prstGeom>
                          <a:noFill/>
                          <a:ln w="6350" cap="flat" cmpd="sng">
                            <a:solidFill>
                              <a:srgbClr val="000000"/>
                            </a:solidFill>
                            <a:prstDash val="solid"/>
                            <a:miter/>
                            <a:headEnd type="none" w="med" len="med"/>
                            <a:tailEnd type="none" w="med" len="med"/>
                          </a:ln>
                        </wps:spPr>
                        <wps:txbx>
                          <w:txbxContent>
                            <w:p w14:paraId="2085A5A3">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项目经理</w:t>
                              </w:r>
                            </w:p>
                          </w:txbxContent>
                        </wps:txbx>
                        <wps:bodyPr lIns="12700" tIns="12700" rIns="12700" bIns="12700" upright="1"/>
                      </wps:wsp>
                      <wps:wsp>
                        <wps:cNvPr id="6" name="矩形 3"/>
                        <wps:cNvSpPr/>
                        <wps:spPr>
                          <a:xfrm>
                            <a:off x="4617" y="3605"/>
                            <a:ext cx="3843" cy="629"/>
                          </a:xfrm>
                          <a:prstGeom prst="rect">
                            <a:avLst/>
                          </a:prstGeom>
                          <a:noFill/>
                          <a:ln w="6350" cap="flat" cmpd="sng">
                            <a:solidFill>
                              <a:srgbClr val="000000"/>
                            </a:solidFill>
                            <a:prstDash val="solid"/>
                            <a:miter/>
                            <a:headEnd type="none" w="med" len="med"/>
                            <a:tailEnd type="none" w="med" len="med"/>
                          </a:ln>
                        </wps:spPr>
                        <wps:txbx>
                          <w:txbxContent>
                            <w:p w14:paraId="7190B1F8">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各系统责任工程师</w:t>
                              </w:r>
                            </w:p>
                          </w:txbxContent>
                        </wps:txbx>
                        <wps:bodyPr lIns="12700" tIns="12700" rIns="12700" bIns="12700" upright="1"/>
                      </wps:wsp>
                      <wps:wsp>
                        <wps:cNvPr id="7" name="矩形 4"/>
                        <wps:cNvSpPr/>
                        <wps:spPr>
                          <a:xfrm>
                            <a:off x="900" y="5002"/>
                            <a:ext cx="2020" cy="631"/>
                          </a:xfrm>
                          <a:prstGeom prst="rect">
                            <a:avLst/>
                          </a:prstGeom>
                          <a:noFill/>
                          <a:ln w="6350" cap="flat" cmpd="sng">
                            <a:solidFill>
                              <a:srgbClr val="000000"/>
                            </a:solidFill>
                            <a:prstDash val="solid"/>
                            <a:miter/>
                            <a:headEnd type="none" w="med" len="med"/>
                            <a:tailEnd type="none" w="med" len="med"/>
                          </a:ln>
                        </wps:spPr>
                        <wps:txbx>
                          <w:txbxContent>
                            <w:p w14:paraId="11FB2DF8">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合约管理</w:t>
                              </w:r>
                            </w:p>
                          </w:txbxContent>
                        </wps:txbx>
                        <wps:bodyPr lIns="12700" tIns="12700" rIns="12700" bIns="12700" upright="1"/>
                      </wps:wsp>
                      <wps:wsp>
                        <wps:cNvPr id="8" name="矩形 5"/>
                        <wps:cNvSpPr/>
                        <wps:spPr>
                          <a:xfrm>
                            <a:off x="900" y="6057"/>
                            <a:ext cx="2020" cy="668"/>
                          </a:xfrm>
                          <a:prstGeom prst="rect">
                            <a:avLst/>
                          </a:prstGeom>
                          <a:noFill/>
                          <a:ln w="6350" cap="flat" cmpd="sng">
                            <a:solidFill>
                              <a:srgbClr val="000000"/>
                            </a:solidFill>
                            <a:prstDash val="solid"/>
                            <a:miter/>
                            <a:headEnd type="none" w="med" len="med"/>
                            <a:tailEnd type="none" w="med" len="med"/>
                          </a:ln>
                        </wps:spPr>
                        <wps:txbx>
                          <w:txbxContent>
                            <w:p w14:paraId="3DE8ACD9">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物资管理</w:t>
                              </w:r>
                            </w:p>
                          </w:txbxContent>
                        </wps:txbx>
                        <wps:bodyPr lIns="12700" tIns="12700" rIns="12700" bIns="12700" upright="1"/>
                      </wps:wsp>
                      <wps:wsp>
                        <wps:cNvPr id="15" name="矩形 6"/>
                        <wps:cNvSpPr/>
                        <wps:spPr>
                          <a:xfrm>
                            <a:off x="5220" y="5002"/>
                            <a:ext cx="2020" cy="631"/>
                          </a:xfrm>
                          <a:prstGeom prst="rect">
                            <a:avLst/>
                          </a:prstGeom>
                          <a:noFill/>
                          <a:ln w="6350" cap="flat" cmpd="sng">
                            <a:solidFill>
                              <a:srgbClr val="000000"/>
                            </a:solidFill>
                            <a:prstDash val="solid"/>
                            <a:miter/>
                            <a:headEnd type="none" w="med" len="med"/>
                            <a:tailEnd type="none" w="med" len="med"/>
                          </a:ln>
                        </wps:spPr>
                        <wps:txbx>
                          <w:txbxContent>
                            <w:p w14:paraId="01361F6C">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施工管理</w:t>
                              </w:r>
                            </w:p>
                          </w:txbxContent>
                        </wps:txbx>
                        <wps:bodyPr lIns="12700" tIns="12700" rIns="12700" bIns="12700" upright="1"/>
                      </wps:wsp>
                      <wps:wsp>
                        <wps:cNvPr id="16" name="矩形 7"/>
                        <wps:cNvSpPr/>
                        <wps:spPr>
                          <a:xfrm>
                            <a:off x="5220" y="6057"/>
                            <a:ext cx="2020" cy="668"/>
                          </a:xfrm>
                          <a:prstGeom prst="rect">
                            <a:avLst/>
                          </a:prstGeom>
                          <a:noFill/>
                          <a:ln w="6350" cap="flat" cmpd="sng">
                            <a:solidFill>
                              <a:srgbClr val="000000"/>
                            </a:solidFill>
                            <a:prstDash val="solid"/>
                            <a:miter/>
                            <a:headEnd type="none" w="med" len="med"/>
                            <a:tailEnd type="none" w="med" len="med"/>
                          </a:ln>
                        </wps:spPr>
                        <wps:txbx>
                          <w:txbxContent>
                            <w:p w14:paraId="11BD8D17">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技术管理</w:t>
                              </w:r>
                            </w:p>
                          </w:txbxContent>
                        </wps:txbx>
                        <wps:bodyPr lIns="12700" tIns="12700" rIns="12700" bIns="12700" upright="1"/>
                      </wps:wsp>
                      <wps:wsp>
                        <wps:cNvPr id="17" name="矩形 8"/>
                        <wps:cNvSpPr/>
                        <wps:spPr>
                          <a:xfrm>
                            <a:off x="2880" y="7112"/>
                            <a:ext cx="2020" cy="705"/>
                          </a:xfrm>
                          <a:prstGeom prst="rect">
                            <a:avLst/>
                          </a:prstGeom>
                          <a:noFill/>
                          <a:ln w="6350" cap="flat" cmpd="sng">
                            <a:solidFill>
                              <a:srgbClr val="000000"/>
                            </a:solidFill>
                            <a:prstDash val="solid"/>
                            <a:miter/>
                            <a:headEnd type="none" w="med" len="med"/>
                            <a:tailEnd type="none" w="med" len="med"/>
                          </a:ln>
                        </wps:spPr>
                        <wps:txbx>
                          <w:txbxContent>
                            <w:p w14:paraId="67DF1FDA">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施工队伍</w:t>
                              </w:r>
                            </w:p>
                          </w:txbxContent>
                        </wps:txbx>
                        <wps:bodyPr lIns="12700" tIns="12700" rIns="12700" bIns="12700" upright="1"/>
                      </wps:wsp>
                      <wps:wsp>
                        <wps:cNvPr id="18" name="文本框 9"/>
                        <wps:cNvSpPr txBox="1"/>
                        <wps:spPr>
                          <a:xfrm>
                            <a:off x="0" y="3600"/>
                            <a:ext cx="3240" cy="629"/>
                          </a:xfrm>
                          <a:prstGeom prst="rect">
                            <a:avLst/>
                          </a:prstGeom>
                          <a:noFill/>
                          <a:ln w="6350" cap="flat" cmpd="sng">
                            <a:solidFill>
                              <a:srgbClr val="000000"/>
                            </a:solidFill>
                            <a:prstDash val="solid"/>
                            <a:miter/>
                            <a:headEnd type="none" w="med" len="med"/>
                            <a:tailEnd type="none" w="med" len="med"/>
                          </a:ln>
                        </wps:spPr>
                        <wps:txbx>
                          <w:txbxContent>
                            <w:p w14:paraId="12823791">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质量总监</w:t>
                              </w:r>
                            </w:p>
                          </w:txbxContent>
                        </wps:txbx>
                        <wps:bodyPr lIns="12700" tIns="12700" rIns="12700" bIns="12700" upright="1"/>
                      </wps:wsp>
                      <wps:wsp>
                        <wps:cNvPr id="29" name="文本框 10"/>
                        <wps:cNvSpPr txBox="1"/>
                        <wps:spPr>
                          <a:xfrm>
                            <a:off x="6120" y="2040"/>
                            <a:ext cx="2340" cy="629"/>
                          </a:xfrm>
                          <a:prstGeom prst="rect">
                            <a:avLst/>
                          </a:prstGeom>
                          <a:noFill/>
                          <a:ln w="6350" cap="flat" cmpd="sng">
                            <a:solidFill>
                              <a:srgbClr val="000000"/>
                            </a:solidFill>
                            <a:prstDash val="solid"/>
                            <a:miter/>
                            <a:headEnd type="none" w="med" len="med"/>
                            <a:tailEnd type="none" w="med" len="med"/>
                          </a:ln>
                        </wps:spPr>
                        <wps:txbx>
                          <w:txbxContent>
                            <w:p w14:paraId="37C8878C">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技术负责人</w:t>
                              </w:r>
                            </w:p>
                          </w:txbxContent>
                        </wps:txbx>
                        <wps:bodyPr lIns="12700" tIns="12700" rIns="12700" bIns="12700" upright="1"/>
                      </wps:wsp>
                      <wps:wsp>
                        <wps:cNvPr id="30" name="文本框 11"/>
                        <wps:cNvSpPr txBox="1"/>
                        <wps:spPr>
                          <a:xfrm>
                            <a:off x="52" y="2045"/>
                            <a:ext cx="2288" cy="624"/>
                          </a:xfrm>
                          <a:prstGeom prst="rect">
                            <a:avLst/>
                          </a:prstGeom>
                          <a:noFill/>
                          <a:ln w="6350" cap="flat" cmpd="sng">
                            <a:solidFill>
                              <a:srgbClr val="000000"/>
                            </a:solidFill>
                            <a:prstDash val="solid"/>
                            <a:miter/>
                            <a:headEnd type="none" w="med" len="med"/>
                            <a:tailEnd type="none" w="med" len="med"/>
                          </a:ln>
                        </wps:spPr>
                        <wps:txbx>
                          <w:txbxContent>
                            <w:p w14:paraId="25B6019B">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执行经理</w:t>
                              </w:r>
                            </w:p>
                          </w:txbxContent>
                        </wps:txbx>
                        <wps:bodyPr lIns="12700" tIns="12700" rIns="12700" bIns="12700" upright="1"/>
                      </wps:wsp>
                      <wps:wsp>
                        <wps:cNvPr id="31" name="矩形 12"/>
                        <wps:cNvSpPr/>
                        <wps:spPr>
                          <a:xfrm>
                            <a:off x="5940" y="0"/>
                            <a:ext cx="2640" cy="942"/>
                          </a:xfrm>
                          <a:prstGeom prst="rect">
                            <a:avLst/>
                          </a:prstGeom>
                          <a:noFill/>
                          <a:ln w="6350" cap="flat" cmpd="sng">
                            <a:solidFill>
                              <a:srgbClr val="000000"/>
                            </a:solidFill>
                            <a:prstDash val="solid"/>
                            <a:miter/>
                            <a:headEnd type="none" w="med" len="med"/>
                            <a:tailEnd type="none" w="med" len="med"/>
                          </a:ln>
                        </wps:spPr>
                        <wps:txbx>
                          <w:txbxContent>
                            <w:p w14:paraId="18DCE155">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国家和本市地方标准</w:t>
                              </w:r>
                            </w:p>
                          </w:txbxContent>
                        </wps:txbx>
                        <wps:bodyPr lIns="12700" tIns="12700" rIns="12700" bIns="12700" upright="1"/>
                      </wps:wsp>
                      <wps:wsp>
                        <wps:cNvPr id="40" name="直接连接符 13"/>
                        <wps:cNvCnPr/>
                        <wps:spPr>
                          <a:xfrm flipH="1">
                            <a:off x="4860" y="485"/>
                            <a:ext cx="1080" cy="0"/>
                          </a:xfrm>
                          <a:prstGeom prst="line">
                            <a:avLst/>
                          </a:prstGeom>
                          <a:ln w="9525" cap="flat" cmpd="sng">
                            <a:solidFill>
                              <a:srgbClr val="000000"/>
                            </a:solidFill>
                            <a:prstDash val="solid"/>
                            <a:headEnd type="none" w="med" len="med"/>
                            <a:tailEnd type="triangle" w="med" len="med"/>
                          </a:ln>
                        </wps:spPr>
                        <wps:bodyPr upright="1"/>
                      </wps:wsp>
                      <wps:wsp>
                        <wps:cNvPr id="41" name="直接连接符 14"/>
                        <wps:cNvCnPr/>
                        <wps:spPr>
                          <a:xfrm>
                            <a:off x="3780" y="797"/>
                            <a:ext cx="0" cy="468"/>
                          </a:xfrm>
                          <a:prstGeom prst="line">
                            <a:avLst/>
                          </a:prstGeom>
                          <a:ln w="9525" cap="flat" cmpd="sng">
                            <a:solidFill>
                              <a:srgbClr val="000000"/>
                            </a:solidFill>
                            <a:prstDash val="solid"/>
                            <a:headEnd type="none" w="med" len="med"/>
                            <a:tailEnd type="triangle" w="med" len="med"/>
                          </a:ln>
                        </wps:spPr>
                        <wps:bodyPr upright="1"/>
                      </wps:wsp>
                      <wps:wsp>
                        <wps:cNvPr id="42" name="直接连接符 15"/>
                        <wps:cNvCnPr/>
                        <wps:spPr>
                          <a:xfrm flipH="1">
                            <a:off x="1260" y="1577"/>
                            <a:ext cx="1440" cy="0"/>
                          </a:xfrm>
                          <a:prstGeom prst="line">
                            <a:avLst/>
                          </a:prstGeom>
                          <a:ln w="9525" cap="flat" cmpd="sng">
                            <a:solidFill>
                              <a:srgbClr val="000000"/>
                            </a:solidFill>
                            <a:prstDash val="solid"/>
                            <a:headEnd type="none" w="med" len="med"/>
                            <a:tailEnd type="none" w="med" len="med"/>
                          </a:ln>
                        </wps:spPr>
                        <wps:bodyPr upright="1"/>
                      </wps:wsp>
                      <wps:wsp>
                        <wps:cNvPr id="43" name="直接连接符 16"/>
                        <wps:cNvCnPr/>
                        <wps:spPr>
                          <a:xfrm>
                            <a:off x="1260" y="1577"/>
                            <a:ext cx="0" cy="468"/>
                          </a:xfrm>
                          <a:prstGeom prst="line">
                            <a:avLst/>
                          </a:prstGeom>
                          <a:ln w="9525" cap="flat" cmpd="sng">
                            <a:solidFill>
                              <a:srgbClr val="000000"/>
                            </a:solidFill>
                            <a:prstDash val="solid"/>
                            <a:headEnd type="none" w="med" len="med"/>
                            <a:tailEnd type="triangle" w="med" len="med"/>
                          </a:ln>
                        </wps:spPr>
                        <wps:bodyPr upright="1"/>
                      </wps:wsp>
                      <wps:wsp>
                        <wps:cNvPr id="44" name="直接连接符 17"/>
                        <wps:cNvCnPr/>
                        <wps:spPr>
                          <a:xfrm>
                            <a:off x="4680" y="1577"/>
                            <a:ext cx="2700" cy="0"/>
                          </a:xfrm>
                          <a:prstGeom prst="line">
                            <a:avLst/>
                          </a:prstGeom>
                          <a:ln w="9525" cap="flat" cmpd="sng">
                            <a:solidFill>
                              <a:srgbClr val="000000"/>
                            </a:solidFill>
                            <a:prstDash val="solid"/>
                            <a:headEnd type="none" w="med" len="med"/>
                            <a:tailEnd type="none" w="med" len="med"/>
                          </a:ln>
                        </wps:spPr>
                        <wps:bodyPr upright="1"/>
                      </wps:wsp>
                      <wps:wsp>
                        <wps:cNvPr id="45" name="直接连接符 18"/>
                        <wps:cNvCnPr/>
                        <wps:spPr>
                          <a:xfrm>
                            <a:off x="7380" y="1577"/>
                            <a:ext cx="0" cy="468"/>
                          </a:xfrm>
                          <a:prstGeom prst="line">
                            <a:avLst/>
                          </a:prstGeom>
                          <a:ln w="9525" cap="flat" cmpd="sng">
                            <a:solidFill>
                              <a:srgbClr val="000000"/>
                            </a:solidFill>
                            <a:prstDash val="solid"/>
                            <a:headEnd type="none" w="med" len="med"/>
                            <a:tailEnd type="triangle" w="med" len="med"/>
                          </a:ln>
                        </wps:spPr>
                        <wps:bodyPr upright="1"/>
                      </wps:wsp>
                      <wps:wsp>
                        <wps:cNvPr id="46" name="直接连接符 19"/>
                        <wps:cNvCnPr/>
                        <wps:spPr>
                          <a:xfrm>
                            <a:off x="1260" y="2669"/>
                            <a:ext cx="0" cy="312"/>
                          </a:xfrm>
                          <a:prstGeom prst="line">
                            <a:avLst/>
                          </a:prstGeom>
                          <a:ln w="9525" cap="flat" cmpd="sng">
                            <a:solidFill>
                              <a:srgbClr val="000000"/>
                            </a:solidFill>
                            <a:prstDash val="solid"/>
                            <a:headEnd type="none" w="med" len="med"/>
                            <a:tailEnd type="none" w="med" len="med"/>
                          </a:ln>
                        </wps:spPr>
                        <wps:bodyPr upright="1"/>
                      </wps:wsp>
                      <wps:wsp>
                        <wps:cNvPr id="47" name="直接连接符 20"/>
                        <wps:cNvCnPr/>
                        <wps:spPr>
                          <a:xfrm>
                            <a:off x="1260" y="2981"/>
                            <a:ext cx="6120" cy="0"/>
                          </a:xfrm>
                          <a:prstGeom prst="line">
                            <a:avLst/>
                          </a:prstGeom>
                          <a:ln w="9525" cap="flat" cmpd="sng">
                            <a:solidFill>
                              <a:srgbClr val="000000"/>
                            </a:solidFill>
                            <a:prstDash val="solid"/>
                            <a:headEnd type="none" w="med" len="med"/>
                            <a:tailEnd type="none" w="med" len="med"/>
                          </a:ln>
                        </wps:spPr>
                        <wps:bodyPr upright="1"/>
                      </wps:wsp>
                      <wps:wsp>
                        <wps:cNvPr id="48" name="直接连接符 21"/>
                        <wps:cNvCnPr/>
                        <wps:spPr>
                          <a:xfrm flipV="1">
                            <a:off x="7380" y="2669"/>
                            <a:ext cx="0" cy="312"/>
                          </a:xfrm>
                          <a:prstGeom prst="line">
                            <a:avLst/>
                          </a:prstGeom>
                          <a:ln w="9525" cap="flat" cmpd="sng">
                            <a:solidFill>
                              <a:srgbClr val="000000"/>
                            </a:solidFill>
                            <a:prstDash val="solid"/>
                            <a:headEnd type="none" w="med" len="med"/>
                            <a:tailEnd type="none" w="med" len="med"/>
                          </a:ln>
                        </wps:spPr>
                        <wps:bodyPr upright="1"/>
                      </wps:wsp>
                      <wps:wsp>
                        <wps:cNvPr id="49" name="直接连接符 22"/>
                        <wps:cNvCnPr/>
                        <wps:spPr>
                          <a:xfrm>
                            <a:off x="1620" y="2981"/>
                            <a:ext cx="0" cy="624"/>
                          </a:xfrm>
                          <a:prstGeom prst="line">
                            <a:avLst/>
                          </a:prstGeom>
                          <a:ln w="9525" cap="flat" cmpd="sng">
                            <a:solidFill>
                              <a:srgbClr val="000000"/>
                            </a:solidFill>
                            <a:prstDash val="solid"/>
                            <a:headEnd type="none" w="med" len="med"/>
                            <a:tailEnd type="triangle" w="med" len="med"/>
                          </a:ln>
                        </wps:spPr>
                        <wps:bodyPr upright="1"/>
                      </wps:wsp>
                      <wps:wsp>
                        <wps:cNvPr id="50" name="直接连接符 23"/>
                        <wps:cNvCnPr/>
                        <wps:spPr>
                          <a:xfrm>
                            <a:off x="6480" y="2981"/>
                            <a:ext cx="0" cy="624"/>
                          </a:xfrm>
                          <a:prstGeom prst="line">
                            <a:avLst/>
                          </a:prstGeom>
                          <a:ln w="9525" cap="flat" cmpd="sng">
                            <a:solidFill>
                              <a:srgbClr val="000000"/>
                            </a:solidFill>
                            <a:prstDash val="solid"/>
                            <a:headEnd type="none" w="med" len="med"/>
                            <a:tailEnd type="triangle" w="med" len="med"/>
                          </a:ln>
                        </wps:spPr>
                        <wps:bodyPr upright="1"/>
                      </wps:wsp>
                      <wps:wsp>
                        <wps:cNvPr id="51" name="直接连接符 24"/>
                        <wps:cNvCnPr/>
                        <wps:spPr>
                          <a:xfrm>
                            <a:off x="1620" y="4229"/>
                            <a:ext cx="0" cy="312"/>
                          </a:xfrm>
                          <a:prstGeom prst="line">
                            <a:avLst/>
                          </a:prstGeom>
                          <a:ln w="9525" cap="flat" cmpd="sng">
                            <a:solidFill>
                              <a:srgbClr val="000000"/>
                            </a:solidFill>
                            <a:prstDash val="solid"/>
                            <a:headEnd type="none" w="med" len="med"/>
                            <a:tailEnd type="none" w="med" len="med"/>
                          </a:ln>
                        </wps:spPr>
                        <wps:bodyPr upright="1"/>
                      </wps:wsp>
                      <wps:wsp>
                        <wps:cNvPr id="52" name="直接连接符 25"/>
                        <wps:cNvCnPr/>
                        <wps:spPr>
                          <a:xfrm>
                            <a:off x="1620" y="4541"/>
                            <a:ext cx="4860" cy="0"/>
                          </a:xfrm>
                          <a:prstGeom prst="line">
                            <a:avLst/>
                          </a:prstGeom>
                          <a:ln w="9525" cap="flat" cmpd="sng">
                            <a:solidFill>
                              <a:srgbClr val="000000"/>
                            </a:solidFill>
                            <a:prstDash val="solid"/>
                            <a:headEnd type="none" w="med" len="med"/>
                            <a:tailEnd type="none" w="med" len="med"/>
                          </a:ln>
                        </wps:spPr>
                        <wps:bodyPr upright="1"/>
                      </wps:wsp>
                      <wps:wsp>
                        <wps:cNvPr id="53" name="直接连接符 26"/>
                        <wps:cNvCnPr/>
                        <wps:spPr>
                          <a:xfrm>
                            <a:off x="6480" y="4229"/>
                            <a:ext cx="0" cy="312"/>
                          </a:xfrm>
                          <a:prstGeom prst="line">
                            <a:avLst/>
                          </a:prstGeom>
                          <a:ln w="9525" cap="flat" cmpd="sng">
                            <a:solidFill>
                              <a:srgbClr val="000000"/>
                            </a:solidFill>
                            <a:prstDash val="solid"/>
                            <a:headEnd type="none" w="med" len="med"/>
                            <a:tailEnd type="none" w="med" len="med"/>
                          </a:ln>
                        </wps:spPr>
                        <wps:bodyPr upright="1"/>
                      </wps:wsp>
                      <wps:wsp>
                        <wps:cNvPr id="54" name="直接连接符 27"/>
                        <wps:cNvCnPr/>
                        <wps:spPr>
                          <a:xfrm>
                            <a:off x="3960" y="4541"/>
                            <a:ext cx="0" cy="2496"/>
                          </a:xfrm>
                          <a:prstGeom prst="line">
                            <a:avLst/>
                          </a:prstGeom>
                          <a:ln w="9525" cap="flat" cmpd="sng">
                            <a:solidFill>
                              <a:srgbClr val="000000"/>
                            </a:solidFill>
                            <a:prstDash val="solid"/>
                            <a:headEnd type="none" w="med" len="med"/>
                            <a:tailEnd type="triangle" w="med" len="med"/>
                          </a:ln>
                        </wps:spPr>
                        <wps:bodyPr upright="1"/>
                      </wps:wsp>
                      <wps:wsp>
                        <wps:cNvPr id="55" name="直接连接符 28"/>
                        <wps:cNvCnPr/>
                        <wps:spPr>
                          <a:xfrm>
                            <a:off x="2880" y="5321"/>
                            <a:ext cx="2340" cy="0"/>
                          </a:xfrm>
                          <a:prstGeom prst="line">
                            <a:avLst/>
                          </a:prstGeom>
                          <a:ln w="9525" cap="flat" cmpd="sng">
                            <a:solidFill>
                              <a:srgbClr val="000000"/>
                            </a:solidFill>
                            <a:prstDash val="solid"/>
                            <a:headEnd type="none" w="med" len="med"/>
                            <a:tailEnd type="none" w="med" len="med"/>
                          </a:ln>
                        </wps:spPr>
                        <wps:bodyPr upright="1"/>
                      </wps:wsp>
                      <wps:wsp>
                        <wps:cNvPr id="56" name="直接连接符 29"/>
                        <wps:cNvCnPr/>
                        <wps:spPr>
                          <a:xfrm>
                            <a:off x="2880" y="6413"/>
                            <a:ext cx="2340" cy="0"/>
                          </a:xfrm>
                          <a:prstGeom prst="line">
                            <a:avLst/>
                          </a:prstGeom>
                          <a:ln w="9525" cap="flat" cmpd="sng">
                            <a:solidFill>
                              <a:srgbClr val="000000"/>
                            </a:solidFill>
                            <a:prstDash val="solid"/>
                            <a:headEnd type="none" w="med" len="med"/>
                            <a:tailEnd type="none" w="med" len="med"/>
                          </a:ln>
                        </wps:spPr>
                        <wps:bodyPr upright="1"/>
                      </wps:wsp>
                    </wpg:wgp>
                  </a:graphicData>
                </a:graphic>
              </wp:inline>
            </w:drawing>
          </mc:Choice>
          <mc:Fallback>
            <w:pict>
              <v:group id="_x0000_s1026" o:spid="_x0000_s1026" o:spt="203" style="height:277.95pt;width:423pt;" coordsize="8580,7817" o:gfxdata="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">
                <o:lock v:ext="edit" aspectratio="f"/>
                <v:rect id="矩形 1" o:spid="_x0000_s1026" o:spt="1" style="position:absolute;left:2520;top:205;height:592;width:2340;" filled="f" stroked="t" coordsize="21600,21600" o:gfxdata="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pcZfG8AAAA&#10;2gAAAA8AAAAAAAAAAQAgAAAAIgAAAGRycy9kb3ducmV2LnhtbFBLAQIUABQAAAAIAIdO4kAzLwWe&#10;OwAAADkAAAAQAAAAAAAAAAEAIAAAAAsBAABkcnMvc2hhcGV4bWwueG1sUEsFBgAAAAAGAAYAWwEA&#10;ALUDAAAAAA==&#10;">
                  <v:fill on="f" focussize="0,0"/>
                  <v:stroke weight="0.5pt" color="#000000" joinstyle="miter"/>
                  <v:imagedata o:title=""/>
                  <o:lock v:ext="edit" aspectratio="f"/>
                  <v:textbox inset="1pt,1pt,1pt,1pt">
                    <w:txbxContent>
                      <w:p w14:paraId="344B876D">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总部服务控制</w:t>
                        </w:r>
                      </w:p>
                    </w:txbxContent>
                  </v:textbox>
                </v:rect>
                <v:rect id="矩形 2" o:spid="_x0000_s1026" o:spt="1" style="position:absolute;left:2700;top:1320;height:569;width:1975;" filled="f" stroked="t" coordsize="21600,21600" o:gfxdata="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UQwGq8AAAA&#10;2gAAAA8AAAAAAAAAAQAgAAAAIgAAAGRycy9kb3ducmV2LnhtbFBLAQIUABQAAAAIAIdO4kAzLwWe&#10;OwAAADkAAAAQAAAAAAAAAAEAIAAAAAsBAABkcnMvc2hhcGV4bWwueG1sUEsFBgAAAAAGAAYAWwEA&#10;ALUDAAAAAA==&#10;">
                  <v:fill on="f" focussize="0,0"/>
                  <v:stroke weight="0.5pt" color="#000000" joinstyle="miter"/>
                  <v:imagedata o:title=""/>
                  <o:lock v:ext="edit" aspectratio="f"/>
                  <v:textbox inset="1pt,1pt,1pt,1pt">
                    <w:txbxContent>
                      <w:p w14:paraId="2085A5A3">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项目经理</w:t>
                        </w:r>
                      </w:p>
                    </w:txbxContent>
                  </v:textbox>
                </v:rect>
                <v:rect id="矩形 3" o:spid="_x0000_s1026" o:spt="1" style="position:absolute;left:4617;top:3605;height:629;width:3843;" filled="f" stroked="t" coordsize="21600,21600" o:gfxdata="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XCXh28AAAA&#10;2gAAAA8AAAAAAAAAAQAgAAAAIgAAAGRycy9kb3ducmV2LnhtbFBLAQIUABQAAAAIAIdO4kAzLwWe&#10;OwAAADkAAAAQAAAAAAAAAAEAIAAAAAsBAABkcnMvc2hhcGV4bWwueG1sUEsFBgAAAAAGAAYAWwEA&#10;ALUDAAAAAA==&#10;">
                  <v:fill on="f" focussize="0,0"/>
                  <v:stroke weight="0.5pt" color="#000000" joinstyle="miter"/>
                  <v:imagedata o:title=""/>
                  <o:lock v:ext="edit" aspectratio="f"/>
                  <v:textbox inset="1pt,1pt,1pt,1pt">
                    <w:txbxContent>
                      <w:p w14:paraId="7190B1F8">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各系统责任工程师</w:t>
                        </w:r>
                      </w:p>
                    </w:txbxContent>
                  </v:textbox>
                </v:rect>
                <v:rect id="矩形 4" o:spid="_x0000_s1026" o:spt="1" style="position:absolute;left:900;top:5002;height:631;width:2020;" filled="f" stroked="t" coordsize="21600,21600" o:gfxdata="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O+4a8AAAA&#10;2gAAAA8AAAAAAAAAAQAgAAAAIgAAAGRycy9kb3ducmV2LnhtbFBLAQIUABQAAAAIAIdO4kAzLwWe&#10;OwAAADkAAAAQAAAAAAAAAAEAIAAAAAsBAABkcnMvc2hhcGV4bWwueG1sUEsFBgAAAAAGAAYAWwEA&#10;ALUDAAAAAA==&#10;">
                  <v:fill on="f" focussize="0,0"/>
                  <v:stroke weight="0.5pt" color="#000000" joinstyle="miter"/>
                  <v:imagedata o:title=""/>
                  <o:lock v:ext="edit" aspectratio="f"/>
                  <v:textbox inset="1pt,1pt,1pt,1pt">
                    <w:txbxContent>
                      <w:p w14:paraId="11FB2DF8">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合约管理</w:t>
                        </w:r>
                      </w:p>
                    </w:txbxContent>
                  </v:textbox>
                </v:rect>
                <v:rect id="矩形 5" o:spid="_x0000_s1026" o:spt="1" style="position:absolute;left:900;top:6057;height:668;width:2020;" filled="f" stroked="t" coordsize="21600,21600" o:gfxdata="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sRb/S5AAAA2gAA&#10;AA8AAAAAAAAAAQAgAAAAIgAAAGRycy9kb3ducmV2LnhtbFBLAQIUABQAAAAIAIdO4kAzLwWeOwAA&#10;ADkAAAAQAAAAAAAAAAEAIAAAAAgBAABkcnMvc2hhcGV4bWwueG1sUEsFBgAAAAAGAAYAWwEAALID&#10;AAAAAA==&#10;">
                  <v:fill on="f" focussize="0,0"/>
                  <v:stroke weight="0.5pt" color="#000000" joinstyle="miter"/>
                  <v:imagedata o:title=""/>
                  <o:lock v:ext="edit" aspectratio="f"/>
                  <v:textbox inset="1pt,1pt,1pt,1pt">
                    <w:txbxContent>
                      <w:p w14:paraId="3DE8ACD9">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物资管理</w:t>
                        </w:r>
                      </w:p>
                    </w:txbxContent>
                  </v:textbox>
                </v:rect>
                <v:rect id="矩形 6" o:spid="_x0000_s1026" o:spt="1" style="position:absolute;left:5220;top:5002;height:631;width:2020;" filled="f" stroked="t" coordsize="21600,21600" o:gfxdata="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lMrCrsAAADb&#10;AAAADwAAAAAAAAABACAAAAAiAAAAZHJzL2Rvd25yZXYueG1sUEsBAhQAFAAAAAgAh07iQDMvBZ47&#10;AAAAOQAAABAAAAAAAAAAAQAgAAAACgEAAGRycy9zaGFwZXhtbC54bWxQSwUGAAAAAAYABgBbAQAA&#10;tAMAAAAA&#10;">
                  <v:fill on="f" focussize="0,0"/>
                  <v:stroke weight="0.5pt" color="#000000" joinstyle="miter"/>
                  <v:imagedata o:title=""/>
                  <o:lock v:ext="edit" aspectratio="f"/>
                  <v:textbox inset="1pt,1pt,1pt,1pt">
                    <w:txbxContent>
                      <w:p w14:paraId="01361F6C">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施工管理</w:t>
                        </w:r>
                      </w:p>
                    </w:txbxContent>
                  </v:textbox>
                </v:rect>
                <v:rect id="矩形 7" o:spid="_x0000_s1026" o:spt="1" style="position:absolute;left:5220;top:6057;height:668;width:2020;" filled="f" stroked="t" coordsize="21600,21600" o:gfxdata="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igbV9ugAAANsA&#10;AAAPAAAAAAAAAAEAIAAAACIAAABkcnMvZG93bnJldi54bWxQSwECFAAUAAAACACHTuJAMy8FnjsA&#10;AAA5AAAAEAAAAAAAAAABACAAAAAJAQAAZHJzL3NoYXBleG1sLnhtbFBLBQYAAAAABgAGAFsBAACz&#10;AwAAAAA=&#10;">
                  <v:fill on="f" focussize="0,0"/>
                  <v:stroke weight="0.5pt" color="#000000" joinstyle="miter"/>
                  <v:imagedata o:title=""/>
                  <o:lock v:ext="edit" aspectratio="f"/>
                  <v:textbox inset="1pt,1pt,1pt,1pt">
                    <w:txbxContent>
                      <w:p w14:paraId="11BD8D17">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技术管理</w:t>
                        </w:r>
                      </w:p>
                    </w:txbxContent>
                  </v:textbox>
                </v:rect>
                <v:rect id="矩形 8" o:spid="_x0000_s1026" o:spt="1" style="position:absolute;left:2880;top:7112;height:705;width:2020;" filled="f" stroked="t" coordsize="21600,21600" o:gfxdata="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c0Q5rsAAADb&#10;AAAADwAAAAAAAAABACAAAAAiAAAAZHJzL2Rvd25yZXYueG1sUEsBAhQAFAAAAAgAh07iQDMvBZ47&#10;AAAAOQAAABAAAAAAAAAAAQAgAAAACgEAAGRycy9zaGFwZXhtbC54bWxQSwUGAAAAAAYABgBbAQAA&#10;tAMAAAAA&#10;">
                  <v:fill on="f" focussize="0,0"/>
                  <v:stroke weight="0.5pt" color="#000000" joinstyle="miter"/>
                  <v:imagedata o:title=""/>
                  <o:lock v:ext="edit" aspectratio="f"/>
                  <v:textbox inset="1pt,1pt,1pt,1pt">
                    <w:txbxContent>
                      <w:p w14:paraId="67DF1FDA">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施工队伍</w:t>
                        </w:r>
                      </w:p>
                    </w:txbxContent>
                  </v:textbox>
                </v:rect>
                <v:shape id="文本框 9" o:spid="_x0000_s1026" o:spt="202" type="#_x0000_t202" style="position:absolute;left:0;top:3600;height:629;width:3240;" filled="f" stroked="t" coordsize="21600,21600" o:gfxdata="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aWU4m/&#10;AAAA2wAAAA8AAAAAAAAAAQAgAAAAIgAAAGRycy9kb3ducmV2LnhtbFBLAQIUABQAAAAIAIdO4kAz&#10;LwWeOwAAADkAAAAQAAAAAAAAAAEAIAAAAA4BAABkcnMvc2hhcGV4bWwueG1sUEsFBgAAAAAGAAYA&#10;WwEAALgDAAAAAA==&#10;">
                  <v:fill on="f" focussize="0,0"/>
                  <v:stroke weight="0.5pt" color="#000000" joinstyle="miter"/>
                  <v:imagedata o:title=""/>
                  <o:lock v:ext="edit" aspectratio="f"/>
                  <v:textbox inset="1pt,1pt,1pt,1pt">
                    <w:txbxContent>
                      <w:p w14:paraId="12823791">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质量总监</w:t>
                        </w:r>
                      </w:p>
                    </w:txbxContent>
                  </v:textbox>
                </v:shape>
                <v:shape id="文本框 10" o:spid="_x0000_s1026" o:spt="202" type="#_x0000_t202" style="position:absolute;left:6120;top:2040;height:629;width:2340;" filled="f" stroked="t" coordsize="21600,21600" o:gfxdata="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e2PK+/&#10;AAAA2wAAAA8AAAAAAAAAAQAgAAAAIgAAAGRycy9kb3ducmV2LnhtbFBLAQIUABQAAAAIAIdO4kAz&#10;LwWeOwAAADkAAAAQAAAAAAAAAAEAIAAAAA4BAABkcnMvc2hhcGV4bWwueG1sUEsFBgAAAAAGAAYA&#10;WwEAALgDAAAAAA==&#10;">
                  <v:fill on="f" focussize="0,0"/>
                  <v:stroke weight="0.5pt" color="#000000" joinstyle="miter"/>
                  <v:imagedata o:title=""/>
                  <o:lock v:ext="edit" aspectratio="f"/>
                  <v:textbox inset="1pt,1pt,1pt,1pt">
                    <w:txbxContent>
                      <w:p w14:paraId="37C8878C">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技术负责人</w:t>
                        </w:r>
                      </w:p>
                    </w:txbxContent>
                  </v:textbox>
                </v:shape>
                <v:shape id="文本框 11" o:spid="_x0000_s1026" o:spt="202" type="#_x0000_t202" style="position:absolute;left:52;top:2045;height:624;width:2288;" filled="f" stroked="t" coordsize="21600,21600" o:gfxdata="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1UD77sAAADb&#10;AAAADwAAAAAAAAABACAAAAAiAAAAZHJzL2Rvd25yZXYueG1sUEsBAhQAFAAAAAgAh07iQDMvBZ47&#10;AAAAOQAAABAAAAAAAAAAAQAgAAAACgEAAGRycy9zaGFwZXhtbC54bWxQSwUGAAAAAAYABgBbAQAA&#10;tAMAAAAA&#10;">
                  <v:fill on="f" focussize="0,0"/>
                  <v:stroke weight="0.5pt" color="#000000" joinstyle="miter"/>
                  <v:imagedata o:title=""/>
                  <o:lock v:ext="edit" aspectratio="f"/>
                  <v:textbox inset="1pt,1pt,1pt,1pt">
                    <w:txbxContent>
                      <w:p w14:paraId="25B6019B">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执行经理</w:t>
                        </w:r>
                      </w:p>
                    </w:txbxContent>
                  </v:textbox>
                </v:shape>
                <v:rect id="矩形 12" o:spid="_x0000_s1026" o:spt="1" style="position:absolute;left:5940;top:0;height:942;width:2640;" filled="f" stroked="t" coordsize="21600,21600" o:gfxdata="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1xab4A&#10;AADbAAAADwAAAAAAAAABACAAAAAiAAAAZHJzL2Rvd25yZXYueG1sUEsBAhQAFAAAAAgAh07iQDMv&#10;BZ47AAAAOQAAABAAAAAAAAAAAQAgAAAADQEAAGRycy9zaGFwZXhtbC54bWxQSwUGAAAAAAYABgBb&#10;AQAAtwMAAAAA&#10;">
                  <v:fill on="f" focussize="0,0"/>
                  <v:stroke weight="0.5pt" color="#000000" joinstyle="miter"/>
                  <v:imagedata o:title=""/>
                  <o:lock v:ext="edit" aspectratio="f"/>
                  <v:textbox inset="1pt,1pt,1pt,1pt">
                    <w:txbxContent>
                      <w:p w14:paraId="18DCE155">
                        <w:pPr>
                          <w:spacing w:line="240" w:lineRule="auto"/>
                          <w:ind w:firstLine="0" w:firstLineChars="0"/>
                          <w:jc w:val="center"/>
                          <w:rPr>
                            <w:rFonts w:hint="eastAsia" w:ascii="宋体" w:hAnsi="宋体" w:eastAsia="宋体" w:cs="Times New Roman"/>
                            <w:kern w:val="2"/>
                            <w:sz w:val="24"/>
                            <w:szCs w:val="24"/>
                            <w:lang w:val="zh-CN"/>
                          </w:rPr>
                        </w:pPr>
                        <w:r>
                          <w:rPr>
                            <w:rFonts w:hint="eastAsia" w:ascii="宋体" w:hAnsi="宋体" w:eastAsia="宋体" w:cs="Times New Roman"/>
                            <w:kern w:val="2"/>
                            <w:sz w:val="24"/>
                            <w:szCs w:val="24"/>
                            <w:lang w:val="zh-CN"/>
                          </w:rPr>
                          <w:t>国家和本市地方标准</w:t>
                        </w:r>
                      </w:p>
                    </w:txbxContent>
                  </v:textbox>
                </v:rect>
                <v:line id="直接连接符 13" o:spid="_x0000_s1026" o:spt="20" style="position:absolute;left:4860;top:485;flip:x;height:0;width:1080;" filled="f" stroked="t" coordsize="21600,21600" o:gfxdata="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MH1ar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直接连接符 14" o:spid="_x0000_s1026" o:spt="20" style="position:absolute;left:3780;top:797;height:468;width:0;" filled="f" stroked="t" coordsize="21600,21600" o:gfxdata="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VZ2Lb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15" o:spid="_x0000_s1026" o:spt="20" style="position:absolute;left:1260;top:1577;flip:x;height:0;width:1440;" filled="f" stroked="t" coordsize="21600,21600" o:gfxdata="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of+nO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接连接符 16" o:spid="_x0000_s1026" o:spt="20" style="position:absolute;left:1260;top:1577;height:468;width:0;" filled="f" stroked="t" coordsize="21600,21600" o:gfxdata="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rITcG/&#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7" o:spid="_x0000_s1026" o:spt="20" style="position:absolute;left:4680;top:1577;height:0;width:2700;" filled="f" stroked="t" coordsize="21600,21600" o:gfxdata="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7T5tr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接连接符 18" o:spid="_x0000_s1026" o:spt="20" style="position:absolute;left:7380;top:1577;height:468;width:0;" filled="f" stroked="t" coordsize="21600,21600" o:gfxdata="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ptcC6/&#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9" o:spid="_x0000_s1026" o:spt="20" style="position:absolute;left:1260;top:2669;height:312;width:0;" filled="f" stroked="t" coordsize="21600,21600" o:gfxdata="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Qqwlq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直接连接符 20" o:spid="_x0000_s1026" o:spt="20" style="position:absolute;left:1260;top:2981;height:0;width:6120;" filled="f" stroked="t" coordsize="21600,21600" o:gfxdata="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tmZ8G/&#10;AAAA2w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直接连接符 21" o:spid="_x0000_s1026" o:spt="20" style="position:absolute;left:7380;top:2669;flip:y;height:312;width:0;" filled="f" stroked="t" coordsize="21600,21600" o:gfxdata="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v3zZm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直接连接符 22" o:spid="_x0000_s1026" o:spt="20" style="position:absolute;left:1620;top:2981;height:624;width:0;" filled="f" stroked="t" coordsize="21600,21600" o:gfxdata="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sgeiu/&#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23" o:spid="_x0000_s1026" o:spt="20" style="position:absolute;left:6480;top:2981;height:624;width:0;" filled="f" stroked="t" coordsize="21600,21600" o:gfxdata="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NFa7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直接连接符 24" o:spid="_x0000_s1026" o:spt="20" style="position:absolute;left:1620;top:4229;height:312;width:0;" filled="f" stroked="t" coordsize="21600,21600" o:gfxdata="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Gszz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接连接符 25" o:spid="_x0000_s1026" o:spt="20" style="position:absolute;left:1620;top:4541;height:0;width:4860;" filled="f" stroked="t" coordsize="21600,21600" o:gfxdata="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yFKE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直接连接符 26" o:spid="_x0000_s1026" o:spt="20" style="position:absolute;left:6480;top:4229;height:312;width:0;" filled="f" stroked="t" coordsize="21600,21600" o:gfxdata="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T3H7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接连接符 27" o:spid="_x0000_s1026" o:spt="20" style="position:absolute;left:3960;top:4541;height:2496;width:0;" filled="f" stroked="t" coordsize="21600,21600" o:gfxdata="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D4Q2i/&#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28" o:spid="_x0000_s1026" o:spt="20" style="position:absolute;left:2880;top:5321;height:0;width:2340;" filled="f" stroked="t" coordsize="21600,21600" o:gfxdata="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SHK8L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直接连接符 29" o:spid="_x0000_s1026" o:spt="20" style="position:absolute;left:2880;top:6413;height:0;width:2340;" filled="f" stroked="t" coordsize="21600,21600" o:gfxdata="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HzVIe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w10:wrap type="none"/>
                <w10:anchorlock/>
              </v:group>
            </w:pict>
          </mc:Fallback>
        </mc:AlternateContent>
      </w:r>
      <w:r>
        <w:rPr>
          <w:rFonts w:hint="eastAsia" w:ascii="仿宋" w:hAnsi="仿宋" w:eastAsia="仿宋" w:cs="仿宋"/>
          <w:color w:val="auto"/>
          <w:kern w:val="2"/>
          <w:sz w:val="28"/>
          <w:szCs w:val="28"/>
          <w:lang w:val="en-US" w:eastAsia="zh-CN" w:bidi="ar-SA"/>
        </w:rPr>
        <w:t>质量保证管理体系</w:t>
      </w:r>
    </w:p>
    <w:p w14:paraId="351C0981">
      <w:pPr>
        <w:keepNext w:val="0"/>
        <w:keepLines w:val="0"/>
        <w:pageBreakBefore w:val="0"/>
        <w:widowControl/>
        <w:kinsoku/>
        <w:wordWrap/>
        <w:overflowPunct/>
        <w:bidi w:val="0"/>
        <w:spacing w:before="0" w:beforeLines="0" w:beforeAutospacing="0" w:after="0" w:afterLines="0" w:afterAutospacing="0" w:line="600" w:lineRule="auto"/>
        <w:ind w:firstLine="562" w:firstLineChars="200"/>
        <w:jc w:val="both"/>
        <w:outlineLvl w:val="2"/>
        <w:rPr>
          <w:rFonts w:hint="eastAsia" w:ascii="仿宋" w:hAnsi="仿宋" w:eastAsia="仿宋" w:cs="仿宋"/>
          <w:b/>
          <w:color w:val="auto"/>
          <w:kern w:val="2"/>
          <w:sz w:val="28"/>
          <w:szCs w:val="28"/>
          <w:lang w:val="en-US" w:eastAsia="zh-CN" w:bidi="ar-SA"/>
        </w:rPr>
      </w:pPr>
      <w:bookmarkStart w:id="6" w:name="_Toc44142071"/>
      <w:bookmarkStart w:id="7" w:name="_Toc71964013"/>
      <w:r>
        <w:rPr>
          <w:rFonts w:hint="eastAsia" w:ascii="仿宋" w:hAnsi="仿宋" w:eastAsia="仿宋" w:cs="仿宋"/>
          <w:b/>
          <w:color w:val="auto"/>
          <w:kern w:val="2"/>
          <w:sz w:val="28"/>
          <w:szCs w:val="28"/>
          <w:lang w:val="en-US" w:eastAsia="zh-CN" w:bidi="ar-SA"/>
        </w:rPr>
        <w:t>第三节、制定质量管理责任制</w:t>
      </w:r>
      <w:bookmarkEnd w:id="6"/>
      <w:bookmarkEnd w:id="7"/>
    </w:p>
    <w:p w14:paraId="1F2CD647">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1.项目经理部各职能部门，人员作业层均制订质量管理责任制，明确各工作岗位应承担的责任，达到质量要求，为实现这一质量目标应拥有的权限范围；达到质量目标后应该获得的利益及达不到质量目标应该接受的惩罚。</w:t>
      </w:r>
    </w:p>
    <w:p w14:paraId="390A5D35">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2.管理层质量责任制建立后，将期纳入年度考核内容，与年度奖金挂钩。作业层实行“定人员、定任务、定工期、定质量、定安全（包括文明施工）定报酬、定奖惩”的“七定”质量承包责任制。</w:t>
      </w:r>
    </w:p>
    <w:p w14:paraId="0A132BCF">
      <w:pPr>
        <w:keepNext w:val="0"/>
        <w:keepLines w:val="0"/>
        <w:pageBreakBefore w:val="0"/>
        <w:widowControl/>
        <w:kinsoku/>
        <w:wordWrap/>
        <w:overflowPunct/>
        <w:bidi w:val="0"/>
        <w:spacing w:before="0" w:beforeLines="0" w:beforeAutospacing="0" w:after="0" w:afterLines="0" w:afterAutospacing="0" w:line="600" w:lineRule="auto"/>
        <w:ind w:firstLine="562" w:firstLineChars="200"/>
        <w:jc w:val="both"/>
        <w:outlineLvl w:val="2"/>
        <w:rPr>
          <w:rFonts w:hint="eastAsia" w:ascii="仿宋" w:hAnsi="仿宋" w:eastAsia="仿宋" w:cs="仿宋"/>
          <w:b/>
          <w:color w:val="auto"/>
          <w:kern w:val="2"/>
          <w:sz w:val="28"/>
          <w:szCs w:val="28"/>
          <w:lang w:val="en-US" w:eastAsia="zh-CN" w:bidi="ar-SA"/>
        </w:rPr>
      </w:pPr>
      <w:bookmarkStart w:id="8" w:name="_Toc426917465"/>
      <w:bookmarkStart w:id="9" w:name="_Toc397202726"/>
      <w:bookmarkStart w:id="10" w:name="_Toc44142074"/>
      <w:bookmarkStart w:id="11" w:name="_Toc193538401"/>
      <w:bookmarkStart w:id="12" w:name="_Toc71964016"/>
      <w:r>
        <w:rPr>
          <w:rFonts w:hint="eastAsia" w:ascii="仿宋" w:hAnsi="仿宋" w:eastAsia="仿宋" w:cs="仿宋"/>
          <w:b/>
          <w:color w:val="auto"/>
          <w:kern w:val="2"/>
          <w:sz w:val="28"/>
          <w:szCs w:val="28"/>
          <w:lang w:val="en-US" w:eastAsia="zh-CN" w:bidi="ar-SA"/>
        </w:rPr>
        <w:t>第四节、工程施工质量管理</w:t>
      </w:r>
      <w:bookmarkEnd w:id="8"/>
      <w:bookmarkEnd w:id="9"/>
      <w:bookmarkEnd w:id="10"/>
      <w:bookmarkEnd w:id="11"/>
    </w:p>
    <w:p w14:paraId="2186FE0C">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1、培训</w:t>
      </w:r>
    </w:p>
    <w:p w14:paraId="44872264">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①意识教育</w:t>
      </w:r>
    </w:p>
    <w:p w14:paraId="405E3DC3">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工程开工前将针对工程特点，由项目技术负责人负责组织有关部门及人员编写本项目的质量意识教育计划。计划内容包括公司质量方针、项目质量目标、项目创优计划、项目质量计划、技术法规、规程、工艺、工法和质量验评标准等。通过教育提高各类管理人员与施工人员的质量意识，并贯穿到实际工作中去，以确保项目创优计划的顺利实现。</w:t>
      </w:r>
    </w:p>
    <w:p w14:paraId="5C229086">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②各工种的培训</w:t>
      </w:r>
    </w:p>
    <w:p w14:paraId="4270DAB4">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着重对各工种队伍进行技术培训和质量教育，帮助各工种提高管理水平。项目对各工种班组长及主要施工人员，按不同专业进行技术、工艺、质量综合培训，未经培训或培训不合格的各工种队伍不允许进场施工。项目将责成各工种建立责任制，并将项目的质量管理体系贯彻落实到各自施工质量管理中，并督促其对各项工作落实。</w:t>
      </w:r>
    </w:p>
    <w:p w14:paraId="122F090B">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5.2严格执行施工管理制度</w:t>
      </w:r>
    </w:p>
    <w:p w14:paraId="607B098F">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（1）实行样板先行制度</w:t>
      </w:r>
    </w:p>
    <w:p w14:paraId="1B6C3310">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分项工程开工前，由项目经理部的责任工程师，根据专项施工方案、技术交底及现行的国家规范、标准，组织各工种单位进行样板分项施工，确认符合设计与规范要求后方可进行施工。</w:t>
      </w:r>
    </w:p>
    <w:p w14:paraId="1E48D718">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（2）执行检查验收制度</w:t>
      </w:r>
    </w:p>
    <w:p w14:paraId="03A023C8">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①自检：在每一项分项工程施工完后均需由施工班组对所施工产品进行自检，如符合质量验收标准要求，由班组长填写自检记录表。</w:t>
      </w:r>
    </w:p>
    <w:p w14:paraId="4A9EF961">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②互检：经自检合格的分项工程，在项目经理部专业监理工程师的组织下，由各工种方工长及质量员组织上下工序的施工班组进行互检，对互检中发现的问题上下工序班组应认真及时地予以解决。</w:t>
      </w:r>
    </w:p>
    <w:p w14:paraId="3C6DE02A">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③交接检：上下工序班组通过互检认为符合分项工程质量验收标准要求，在双方填写交接检记录，经各工种方工长签字认可后，方可进行下道工序施工，项目专业监理工程师要亲自参与监督。</w:t>
      </w:r>
    </w:p>
    <w:p w14:paraId="74B4DC19">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（3）质量例会制度、质量会诊制度、质量讲评制度</w:t>
      </w:r>
    </w:p>
    <w:p w14:paraId="10133BDF">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①每周生产例会质量讲评：</w:t>
      </w:r>
    </w:p>
    <w:p w14:paraId="4B3FC933">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项目经理部将每周召开生产例会，除布置生产任务外，还要对上周工地质量动态作一全面的总结，指出施工中存在的质量问题以及解决这些问题的措施。并形成会议记要，以便在召开下周例会时逐项检查执行情况。</w:t>
      </w:r>
    </w:p>
    <w:p w14:paraId="6EC87C35">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②每周质量例会</w:t>
      </w:r>
    </w:p>
    <w:p w14:paraId="5F6777EA">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由项目经理部质量总监主持，参与项目施工的所有分承包行政领导及技术负责人参加。首先由参与项目施工的分承包方汇报上周施工项目的质量情况，质量体系运行情况，质量上存在问题及解决问题的办法，以及需要项目经理部协助配合事宜。</w:t>
      </w:r>
    </w:p>
    <w:p w14:paraId="1D4A6CB5">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项目质量总监要认真地听取他们的汇报，分析上周质量活动中存在的不足或问题。每次会议都要作好例会纪要，分发与会者，作为下周例会检查执行情况的依据。</w:t>
      </w:r>
    </w:p>
    <w:p w14:paraId="32ED16CC">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③每月质量检查讲评</w:t>
      </w:r>
    </w:p>
    <w:p w14:paraId="247A0773">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每月底由项目质量总监组织分承包方行政及技术负责人对在施工程进行实体质量检查，之后，由分承包方写出本月度在施工程质量总结报告交项目质量总监，再由质量总监汇总，发至项目经理部有关领导，各部门和各分承包方。需整改的部位应明确限期整改日期，并在下周质量例会逐项检查是否彻底整改。</w:t>
      </w:r>
    </w:p>
    <w:p w14:paraId="70D6EA84">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（4）挂牌制度</w:t>
      </w:r>
    </w:p>
    <w:p w14:paraId="5D300424">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①技术交底挂牌</w:t>
      </w:r>
    </w:p>
    <w:p w14:paraId="280F40ED">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在工序开始前对施工中的重、难点现场挂牌，将操作要求如：石膏板规格、设计要求、规范要求等写在牌子上，便于工人自觉阅读技术交底，达到理论与实践的统一。</w:t>
      </w:r>
    </w:p>
    <w:p w14:paraId="18478BDB">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②施工部位挂牌</w:t>
      </w:r>
    </w:p>
    <w:p w14:paraId="7C35125F">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在现场施工部位挂“施工部位牌”，牌中注明施工部位、工序名称、施工要求、检查标准、检查责任人、操作责任人、处罚条例等，保证出现问题可以追查到底，并且执行奖罚条例，从而提高相关责任人的责任心和业务水平。</w:t>
      </w:r>
    </w:p>
    <w:p w14:paraId="63151D58">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③操作管理制度挂牌</w:t>
      </w:r>
    </w:p>
    <w:p w14:paraId="40487F59">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注明操作流程、工序要求及标准、责任人，管理制度标明相关的要求和注意事项等。</w:t>
      </w:r>
    </w:p>
    <w:p w14:paraId="6111FB2F">
      <w:pPr>
        <w:keepNext w:val="0"/>
        <w:keepLines w:val="0"/>
        <w:pageBreakBefore w:val="0"/>
        <w:widowControl/>
        <w:kinsoku/>
        <w:wordWrap/>
        <w:overflowPunct/>
        <w:bidi w:val="0"/>
        <w:spacing w:before="0" w:beforeLines="0" w:beforeAutospacing="0" w:after="0" w:afterLines="0" w:afterAutospacing="0" w:line="600" w:lineRule="auto"/>
        <w:ind w:firstLine="562" w:firstLineChars="200"/>
        <w:jc w:val="both"/>
        <w:outlineLvl w:val="2"/>
        <w:rPr>
          <w:rFonts w:hint="eastAsia" w:ascii="仿宋" w:hAnsi="仿宋" w:eastAsia="仿宋" w:cs="仿宋"/>
          <w:b/>
          <w:color w:val="auto"/>
          <w:kern w:val="2"/>
          <w:sz w:val="28"/>
          <w:szCs w:val="28"/>
          <w:lang w:val="en-US" w:eastAsia="zh-CN" w:bidi="ar-SA"/>
        </w:rPr>
      </w:pPr>
      <w:bookmarkStart w:id="13" w:name="_Toc44142075"/>
      <w:r>
        <w:rPr>
          <w:rFonts w:hint="eastAsia" w:ascii="仿宋" w:hAnsi="仿宋" w:eastAsia="仿宋" w:cs="仿宋"/>
          <w:b/>
          <w:color w:val="auto"/>
          <w:kern w:val="2"/>
          <w:sz w:val="28"/>
          <w:szCs w:val="28"/>
          <w:lang w:val="en-US" w:eastAsia="zh-CN" w:bidi="ar-SA"/>
        </w:rPr>
        <w:t>第五节、施工过程的质量控制</w:t>
      </w:r>
      <w:bookmarkEnd w:id="12"/>
      <w:bookmarkEnd w:id="13"/>
    </w:p>
    <w:p w14:paraId="13DAEE42">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1.严格按照质量程序控制图施工。</w:t>
      </w:r>
    </w:p>
    <w:p w14:paraId="722C4962">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2.根据对影响工程质量的关键特点，关键部位及重要影响因素设置管理占的原则，在工期工序、测量施工、清表施工、垃圾外运设四个关键点设立管理小组。</w:t>
      </w:r>
    </w:p>
    <w:p w14:paraId="4DB3A1BC">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3.四个管理小组按工作特性有不同的区别。工程小组以项目经理部为主，以提高工作质量为目的的“管理型”小组；其余三个小组是以“三结合”为主，以攻克技术难关为目的“攻关型”小组。</w:t>
      </w:r>
    </w:p>
    <w:p w14:paraId="7ACB974B">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4.建立高效灵敏感的质量信息反馈系统，专职检察员技术人员为信息中心，负责收集、整理和传递质量动态信息决策机构（项目经理部）。决策机构对异常信息迅速作出反映，并将新的指令信息传递给执行机构（工程部），调整施工部署，纠正偏差，形成一个反映迅速，畅通无阻的封闭质量信息网。</w:t>
      </w:r>
    </w:p>
    <w:p w14:paraId="31F37435">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5.现场质检员要及时将班组的质量信息，按照单纯随机抽样法，分层随机抽样法，整理随机抽样法，客观地提取产品的质量数据，为决策提供保靠依据。</w:t>
      </w:r>
    </w:p>
    <w:p w14:paraId="3841D703">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6.采用质量预控法中的因果分析图，质量对策表，“五合一”记录表开展质量统计分析，掌握质量动态。</w:t>
      </w:r>
    </w:p>
    <w:p w14:paraId="35B6C73D">
      <w:pPr>
        <w:keepNext w:val="0"/>
        <w:keepLines w:val="0"/>
        <w:pageBreakBefore w:val="0"/>
        <w:widowControl/>
        <w:kinsoku/>
        <w:wordWrap/>
        <w:overflowPunct/>
        <w:bidi w:val="0"/>
        <w:spacing w:after="0" w:line="600" w:lineRule="auto"/>
        <w:ind w:firstLine="560" w:firstLineChars="200"/>
        <w:jc w:val="both"/>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7.业内技术资料与工程进度同步进行，收集齐全真实资料，便于对工程部分考核，工程竣工时，具有完整的业内技术资料。</w:t>
      </w:r>
    </w:p>
    <w:p w14:paraId="49CF4CC9">
      <w:pPr>
        <w:keepNext w:val="0"/>
        <w:keepLines w:val="0"/>
        <w:widowControl/>
        <w:suppressLineNumbers w:val="0"/>
        <w:spacing w:line="600" w:lineRule="auto"/>
        <w:ind w:left="0" w:leftChars="0" w:firstLine="0" w:firstLineChars="0"/>
        <w:jc w:val="center"/>
        <w:outlineLvl w:val="1"/>
        <w:rPr>
          <w:rFonts w:hint="eastAsia" w:ascii="仿宋" w:hAnsi="仿宋" w:eastAsia="仿宋" w:cs="仿宋"/>
          <w:color w:val="auto"/>
          <w:sz w:val="28"/>
          <w:szCs w:val="28"/>
        </w:rPr>
      </w:pPr>
      <w:bookmarkStart w:id="14" w:name="_Toc538"/>
      <w:r>
        <w:rPr>
          <w:rFonts w:hint="eastAsia" w:ascii="仿宋" w:hAnsi="仿宋" w:eastAsia="仿宋" w:cs="仿宋"/>
          <w:b/>
          <w:bCs/>
          <w:color w:val="auto"/>
          <w:kern w:val="0"/>
          <w:sz w:val="28"/>
          <w:szCs w:val="28"/>
          <w:lang w:val="en-US" w:eastAsia="zh-CN" w:bidi="ar"/>
        </w:rPr>
        <w:t>第二章：安全生产技术组织措施</w:t>
      </w:r>
      <w:bookmarkEnd w:id="14"/>
    </w:p>
    <w:p w14:paraId="6A628336">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en-US" w:bidi="ar-SA"/>
        </w:rPr>
      </w:pPr>
      <w:bookmarkStart w:id="15" w:name="_Toc44142094"/>
      <w:r>
        <w:rPr>
          <w:rFonts w:hint="eastAsia" w:ascii="仿宋" w:hAnsi="仿宋" w:eastAsia="仿宋" w:cs="仿宋"/>
          <w:b/>
          <w:bCs/>
          <w:snapToGrid w:val="0"/>
          <w:color w:val="auto"/>
          <w:kern w:val="2"/>
          <w:sz w:val="28"/>
          <w:szCs w:val="28"/>
          <w:lang w:val="en-US" w:eastAsia="en-US" w:bidi="ar-SA"/>
        </w:rPr>
        <w:t>第一节、安全方针</w:t>
      </w:r>
      <w:bookmarkEnd w:id="15"/>
    </w:p>
    <w:p w14:paraId="4C67E195">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安全工作是搞好施工生产的重要因素，关系到国家、企业和个人的根本利益。因此，在施工过程中，必须认真贯彻“安全第一，预防为主”的方针，严格控制和预防各类事故的发生。</w:t>
      </w:r>
    </w:p>
    <w:p w14:paraId="39F6D618">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en-US" w:bidi="ar-SA"/>
        </w:rPr>
      </w:pPr>
      <w:bookmarkStart w:id="16" w:name="_Toc44142095"/>
      <w:r>
        <w:rPr>
          <w:rFonts w:hint="eastAsia" w:ascii="仿宋" w:hAnsi="仿宋" w:eastAsia="仿宋" w:cs="仿宋"/>
          <w:b/>
          <w:bCs/>
          <w:snapToGrid w:val="0"/>
          <w:color w:val="auto"/>
          <w:kern w:val="2"/>
          <w:sz w:val="28"/>
          <w:szCs w:val="28"/>
          <w:lang w:val="en-US" w:eastAsia="en-US" w:bidi="ar-SA"/>
        </w:rPr>
        <w:t>第二节、安全管理目标</w:t>
      </w:r>
      <w:bookmarkEnd w:id="16"/>
    </w:p>
    <w:p w14:paraId="04C8F189">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安全生产目标：遵守工程建设安全生产有关管理规定，严格按安全标准组织施工，采取必要的安全生产措施，消除事故隐患。安全措施不力造成事故责任和发生的费用由成交供应商承担。</w:t>
      </w:r>
    </w:p>
    <w:p w14:paraId="4DF29B03">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en-US" w:bidi="ar-SA"/>
        </w:rPr>
      </w:pPr>
      <w:bookmarkStart w:id="17" w:name="_Toc44142096"/>
      <w:r>
        <w:rPr>
          <w:rFonts w:hint="eastAsia" w:ascii="仿宋" w:hAnsi="仿宋" w:eastAsia="仿宋" w:cs="仿宋"/>
          <w:b/>
          <w:bCs/>
          <w:snapToGrid w:val="0"/>
          <w:color w:val="auto"/>
          <w:kern w:val="2"/>
          <w:sz w:val="28"/>
          <w:szCs w:val="28"/>
          <w:lang w:val="en-US" w:eastAsia="en-US" w:bidi="ar-SA"/>
        </w:rPr>
        <w:t>第三节、安全保证体系</w:t>
      </w:r>
      <w:bookmarkEnd w:id="17"/>
    </w:p>
    <w:p w14:paraId="1670D1EF">
      <w:pPr>
        <w:keepNext w:val="0"/>
        <w:keepLines w:val="0"/>
        <w:pageBreakBefore w:val="0"/>
        <w:widowControl/>
        <w:kinsoku/>
        <w:wordWrap/>
        <w:overflowPunct/>
        <w:autoSpaceDE w:val="0"/>
        <w:autoSpaceDN w:val="0"/>
        <w:bidi w:val="0"/>
        <w:adjustRightInd w:val="0"/>
        <w:snapToGrid w:val="0"/>
        <w:spacing w:before="0" w:after="0" w:line="600" w:lineRule="auto"/>
        <w:ind w:firstLine="0" w:firstLineChars="0"/>
        <w:jc w:val="center"/>
        <w:textAlignment w:val="baseline"/>
        <w:outlineLvl w:val="9"/>
        <w:rPr>
          <w:rFonts w:hint="eastAsia" w:ascii="仿宋" w:hAnsi="仿宋" w:eastAsia="仿宋" w:cs="仿宋"/>
          <w:snapToGrid w:val="0"/>
          <w:color w:val="auto"/>
          <w:kern w:val="0"/>
          <w:sz w:val="21"/>
          <w:szCs w:val="21"/>
          <w:lang w:eastAsia="en-US"/>
        </w:rPr>
      </w:pPr>
      <w:bookmarkStart w:id="18" w:name="_Toc44142097"/>
      <w:bookmarkStart w:id="19" w:name="_Toc397202739"/>
      <w:bookmarkStart w:id="20" w:name="_Toc426917486"/>
      <w:r>
        <w:rPr>
          <w:rFonts w:hint="eastAsia" w:ascii="仿宋" w:hAnsi="仿宋" w:eastAsia="仿宋" w:cs="仿宋"/>
          <w:snapToGrid w:val="0"/>
          <w:color w:val="auto"/>
          <w:kern w:val="0"/>
          <w:sz w:val="21"/>
          <w:szCs w:val="21"/>
          <w:lang w:eastAsia="en-US"/>
        </w:rPr>
        <w:drawing>
          <wp:inline distT="0" distB="0" distL="114300" distR="114300">
            <wp:extent cx="4965700" cy="3540125"/>
            <wp:effectExtent l="0" t="0" r="6350" b="3175"/>
            <wp:docPr id="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
                    <pic:cNvPicPr>
                      <a:picLocks noChangeAspect="1"/>
                    </pic:cNvPicPr>
                  </pic:nvPicPr>
                  <pic:blipFill>
                    <a:blip r:embed="rId8"/>
                    <a:stretch>
                      <a:fillRect/>
                    </a:stretch>
                  </pic:blipFill>
                  <pic:spPr>
                    <a:xfrm>
                      <a:off x="0" y="0"/>
                      <a:ext cx="4965700" cy="3540125"/>
                    </a:xfrm>
                    <a:prstGeom prst="rect">
                      <a:avLst/>
                    </a:prstGeom>
                    <a:noFill/>
                    <a:ln>
                      <a:noFill/>
                    </a:ln>
                  </pic:spPr>
                </pic:pic>
              </a:graphicData>
            </a:graphic>
          </wp:inline>
        </w:drawing>
      </w:r>
    </w:p>
    <w:p w14:paraId="313E8425">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en-US" w:bidi="ar-SA"/>
        </w:rPr>
      </w:pPr>
      <w:r>
        <w:rPr>
          <w:rFonts w:hint="eastAsia" w:ascii="仿宋" w:hAnsi="仿宋" w:eastAsia="仿宋" w:cs="仿宋"/>
          <w:b/>
          <w:bCs/>
          <w:snapToGrid w:val="0"/>
          <w:color w:val="auto"/>
          <w:kern w:val="2"/>
          <w:sz w:val="28"/>
          <w:szCs w:val="28"/>
          <w:lang w:val="en-US" w:eastAsia="en-US" w:bidi="ar-SA"/>
        </w:rPr>
        <w:t>第四节、安全管理制度</w:t>
      </w:r>
      <w:bookmarkEnd w:id="18"/>
      <w:bookmarkEnd w:id="19"/>
      <w:bookmarkEnd w:id="20"/>
    </w:p>
    <w:p w14:paraId="1BBBD27E">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为了贯彻执行安全生产的方针，必须建立健全安全管理制度。</w:t>
      </w:r>
    </w:p>
    <w:p w14:paraId="7C1B304E">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1、安全教育制度</w:t>
      </w:r>
    </w:p>
    <w:p w14:paraId="03638FE8">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为提高施工企业安全教育内容主要包括政治思想教育、劳动保护方针政策教育、安全技术规程和规章制度、安全生产技术知识教育、安全生产典型经验和事故教训等。</w:t>
      </w:r>
    </w:p>
    <w:p w14:paraId="7017260A">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2、安全生产责任制</w:t>
      </w:r>
    </w:p>
    <w:p w14:paraId="6E777F2A">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建立健全各级安全生产责任制，明确规定各级领导人员、各专业人员在安全生产方面的职责，并认真严格执行，对发生的事故必须追究各级领导人员和各专业人员应负的责任。可根据具体情况，建立劳动保护机械，并配备相应的专职人员。</w:t>
      </w:r>
    </w:p>
    <w:p w14:paraId="0CBD09E7">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3、安全技术措施计划</w:t>
      </w:r>
    </w:p>
    <w:p w14:paraId="2EAB80FB">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安全技术措施计划主要包括：保证施工安全生产、改善劳动条件、防止伤亡事故、预防职业病、管线保护等各项技术组织措施。</w:t>
      </w:r>
    </w:p>
    <w:p w14:paraId="2BCB1784">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4、安全检查制度</w:t>
      </w:r>
    </w:p>
    <w:p w14:paraId="1C89ED06">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在施工生产中，为了及时发现事故隐患，堵塞事故漏洞，防患于未然，必须对安全生产进行监督检查。以自查为主，领导与群众相结合的检查原则，做到边查边改。</w:t>
      </w:r>
    </w:p>
    <w:p w14:paraId="04272F0D">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5、安全原始记录制度</w:t>
      </w:r>
    </w:p>
    <w:p w14:paraId="07695C30">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安全原始记录是进行统计、总结经验、研究安全措施的依据，也是对安全工作的监督和检查，所以，要认真做好安全原始记录工作。主要有以下内容：安全教育记录；安全会议记录；安全组织状况；安全措施登记表；安全检查记录；安全事故调查、分析、处理记录；安全奖惩记录等。</w:t>
      </w:r>
    </w:p>
    <w:p w14:paraId="1C5908B2">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en-US" w:bidi="ar-SA"/>
        </w:rPr>
      </w:pPr>
      <w:bookmarkStart w:id="21" w:name="_Toc426917487"/>
      <w:bookmarkStart w:id="22" w:name="_Toc44142098"/>
      <w:bookmarkStart w:id="23" w:name="_Toc393459559"/>
      <w:bookmarkStart w:id="24" w:name="_Toc187999683"/>
      <w:bookmarkStart w:id="25" w:name="_Toc187924095"/>
      <w:r>
        <w:rPr>
          <w:rFonts w:hint="eastAsia" w:ascii="仿宋" w:hAnsi="仿宋" w:eastAsia="仿宋" w:cs="仿宋"/>
          <w:b/>
          <w:bCs/>
          <w:snapToGrid w:val="0"/>
          <w:color w:val="auto"/>
          <w:kern w:val="2"/>
          <w:sz w:val="28"/>
          <w:szCs w:val="28"/>
          <w:lang w:val="en-US" w:eastAsia="en-US" w:bidi="ar-SA"/>
        </w:rPr>
        <w:t>第五节、施工安全管理职责</w:t>
      </w:r>
      <w:bookmarkEnd w:id="21"/>
      <w:bookmarkEnd w:id="22"/>
      <w:bookmarkEnd w:id="23"/>
    </w:p>
    <w:bookmarkEnd w:id="24"/>
    <w:bookmarkEnd w:id="25"/>
    <w:p w14:paraId="199AD8AF">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（一）、项目经理</w:t>
      </w:r>
    </w:p>
    <w:p w14:paraId="063136FD">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1、项目经理是项目安全生产第一责任人，代表公司履行安全合同，对项目安全生产负全面责任。</w:t>
      </w:r>
    </w:p>
    <w:p w14:paraId="5F0351CB">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2、贯彻、落实安全生产方针、法律、法规和各项规章制度，结合项目施工特点及施工全过程情况，制订本项目各项安全生产管理办法，并监督其实施。</w:t>
      </w:r>
    </w:p>
    <w:p w14:paraId="3AF890F5">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3、负责本项目安全生产所需资金的有效投入和人员的落实。</w:t>
      </w:r>
    </w:p>
    <w:p w14:paraId="5748AA02">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4、组织编制安全生产保证计划，建立安全生产保证体系，保证其资源配置，监督有效运行，并组织评审，向公司及认证中心提请认证。</w:t>
      </w:r>
    </w:p>
    <w:p w14:paraId="55483D62">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5、制定项目安全生产目标，并进行分解、落实。实施现场标准化管理，确保施工现场环境和文明施工，积极开展文明工地创建活动。</w:t>
      </w:r>
    </w:p>
    <w:p w14:paraId="70CB5FA3">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6、负责组织对各工种方的安全管理工作，对各工种方的安全生产负领导责任。</w:t>
      </w:r>
    </w:p>
    <w:p w14:paraId="4116FEF4">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7、负责组织各项安全技术措施的编制、审批、交底及落实。</w:t>
      </w:r>
    </w:p>
    <w:p w14:paraId="1AF471F5">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8、领导、组织项目安全检查，定期召开会议研究分析项目施工中存在的不安全因素，并制定有效措施，及时落实、解决；对上级提出的安全生产与管理方面的问题，要定时、定人、定措施予以解决。</w:t>
      </w:r>
    </w:p>
    <w:p w14:paraId="4D1BA04D">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9、组织验收、检查机械设备的安全运行。</w:t>
      </w:r>
    </w:p>
    <w:p w14:paraId="11653B21">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10、建立生产安全事故应急救援组织，配备人员及设备，制订有效的救援措施并保障实施。</w:t>
      </w:r>
    </w:p>
    <w:p w14:paraId="7630BD8D">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11、发生事故做好现场保护与抢救工作，及时上报，组织、配合事故调查，认真落实整改措施，吸取事故教训。</w:t>
      </w:r>
    </w:p>
    <w:p w14:paraId="79A58BAB">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（二）、项目副经理</w:t>
      </w:r>
    </w:p>
    <w:p w14:paraId="43788E99">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1、负责施工现场的安全生产管理工作，并根据安全生产保证计划和安保体系以及安全技术措施，定期和不定期的组织安全生产监督检查工作。</w:t>
      </w:r>
    </w:p>
    <w:p w14:paraId="29CCA3A0">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2、负责组织现场安全生产工作会议，定期组织现场安全生产检查，针对重大问题或隐患制定纠正预防措施，并组织实施落实。</w:t>
      </w:r>
    </w:p>
    <w:p w14:paraId="2911BA0D">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3、实施施工现场标准化管理，确保施工现场工作环境和文明施工。</w:t>
      </w:r>
    </w:p>
    <w:p w14:paraId="6E6897AB">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4、组织安全设施所需设备采购计划的审核及批准。</w:t>
      </w:r>
    </w:p>
    <w:p w14:paraId="0FE6E677">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5、主持伤亡事故的调查、分析，提出处理意见和改进措施，并督促实施落实。遵循“四不放过”的原则，并采取有效整改措施，防止再发生事故。</w:t>
      </w:r>
    </w:p>
    <w:p w14:paraId="09615A2A">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6、定期研究解决施工现场存在的安全生产问题，落实整改措施。</w:t>
      </w:r>
    </w:p>
    <w:p w14:paraId="5093B892">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7、分管工程技术安全和物资设备工作。</w:t>
      </w:r>
    </w:p>
    <w:p w14:paraId="46BEFFA6">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（三）、项目工程师</w:t>
      </w:r>
    </w:p>
    <w:p w14:paraId="4A9DF462">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 xml:space="preserve">1、对施工项目工程的安全生产负技术领导责任。 </w:t>
      </w:r>
    </w:p>
    <w:p w14:paraId="3F62DC55">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 xml:space="preserve">2、贯彻落实安全生产方针、政策，严格执行安全技术规程、规范和标准，审定本项目的安全技术标准。 </w:t>
      </w:r>
    </w:p>
    <w:p w14:paraId="1DE7A5E5">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在编制、审核及批准施工组织设计时，同时制定、审查相应的安全技术措施。结合项目工程特点，主持项目工程各阶段有针对性的施工方案和安全技术措施，并负责组织安全技术交底，保证其可行性，并随时跟踪、检查、监督、落实，及时解决实施中出现的技术问题。</w:t>
      </w:r>
    </w:p>
    <w:p w14:paraId="22A4C4E4">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4、主持制定技术措施计划和季节性施工方案的同时，制定相应的安全技术措施并监督执行。及时解决执行中出现的问题。</w:t>
      </w:r>
    </w:p>
    <w:p w14:paraId="0956CE00">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5、施工项目工程中应用新技术、新工艺时，应及时上报上一级主管部门，批准后方可实施，同时组织上岗人员安全技术培训、教育。认真执行相应的安全技术措施与安全操作工艺、要求，预防实施中可能造成的事故。</w:t>
      </w:r>
    </w:p>
    <w:p w14:paraId="31521F6A">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6、从技术上负责危险源辩识，风险控制策划，确定危险部位，重点控制部位及过程，对风险较大和专业性强的工程项目应组织安全技术论证。</w:t>
      </w:r>
    </w:p>
    <w:p w14:paraId="344DC9D2">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7、参加安全生产检查，对施工中存在的不安全因素，从技术方面提出整改意见和办法，及时消除。</w:t>
      </w:r>
    </w:p>
    <w:p w14:paraId="53B97A08">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8、参加、配合工伤事故和重大险肇事故的调查，从技术上分析事故原因，提出预防措施和意见。</w:t>
      </w:r>
    </w:p>
    <w:p w14:paraId="73C34984">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（四）、安全管理部</w:t>
      </w:r>
    </w:p>
    <w:p w14:paraId="5DD1C849">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1、宣传、贯彻执行国家、地方、行业安全生产和劳动保护政策、法律法规、标准及公司的安全生产规章制度。</w:t>
      </w:r>
    </w:p>
    <w:p w14:paraId="5B8D3343">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2、负责安全生产教育和管理工作，总结、交流、推广先进的安全生产经验。</w:t>
      </w:r>
    </w:p>
    <w:p w14:paraId="65AE6E7F">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3、负责安全生产保证计划的工作。</w:t>
      </w:r>
    </w:p>
    <w:p w14:paraId="45FA9FB9">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4、制定年度安全生产工作计划，负责贯彻实施。</w:t>
      </w:r>
    </w:p>
    <w:p w14:paraId="243DED8F">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5、经常深入基层和现场，检查指导安全管理人员的工作，掌握安全生产状况。</w:t>
      </w:r>
    </w:p>
    <w:p w14:paraId="359C7533">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6、组织安全生产活动和定期安全检查。组织施工现场安全生产保证体系内部审核。</w:t>
      </w:r>
    </w:p>
    <w:p w14:paraId="155767D1">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7、对事故隐患和对职工健康有较大危害的作业，下达安全指令，限期整改，制止违章指挥、违章作业。遇有重大险情有权下令停止作业，并立即向上级报告。</w:t>
      </w:r>
    </w:p>
    <w:p w14:paraId="719E01C3">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8、参加审查施工组织设计和专项安全技术措施计划，确定预防与控制措施，并对贯彻执行情况进行监督检查。</w:t>
      </w:r>
    </w:p>
    <w:p w14:paraId="1EF35B97">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9、对劳防用品的采购、发放、使用情况进行监督检查。参加审定防暑降温、防寒保暖措施并监督检查其实施。</w:t>
      </w:r>
    </w:p>
    <w:p w14:paraId="5E24F05D">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10、配合人力资源部门做好职工的安全技术培训和考核工作。</w:t>
      </w:r>
    </w:p>
    <w:p w14:paraId="6FCA965F">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11、参加工伤事故的现场勘察、调查、分析和处理；对伤亡事故和重大未遂事故的责任者提出处理意见。</w:t>
      </w:r>
    </w:p>
    <w:p w14:paraId="78E26406">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12、协助有关部门做好锅炉、压力容器、起重机械等危险性较大的设备安全监察工作。</w:t>
      </w:r>
    </w:p>
    <w:p w14:paraId="2B1A4602">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13、负责工伤事故的统计、分析和报告，建立工伤人员档案。</w:t>
      </w:r>
    </w:p>
    <w:p w14:paraId="7DD269E0">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14、负责监督对外协队伍的安全管理工作。</w:t>
      </w:r>
    </w:p>
    <w:p w14:paraId="356F3544">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15、做好职工伤残评审的申报管理工作。</w:t>
      </w:r>
    </w:p>
    <w:p w14:paraId="5EF7F75A">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（五）、专职安全员</w:t>
      </w:r>
    </w:p>
    <w:p w14:paraId="3D139976">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1、负责对进场职工及外协人员进行安全教育，建立职工“劳动保护教育卡”，指导、监督班组开展安全活动。</w:t>
      </w:r>
    </w:p>
    <w:p w14:paraId="64EFC4D2">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2、负责危险部位、重点控制部位的巡视；对违章作业和事故隐患及时发出整改通知单，限期整改。</w:t>
      </w:r>
    </w:p>
    <w:p w14:paraId="4534D397">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3、对已发生的事故隐患落实整改，并向项目经理部反馈整改情况。</w:t>
      </w:r>
    </w:p>
    <w:p w14:paraId="336819CC">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4、对于危及工人生命安全的重大隐患有权停止施工生产，并立即向领导报告情况。</w:t>
      </w:r>
    </w:p>
    <w:p w14:paraId="45222335">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5、协助项目经理部领导制定项目经理部安全生产管理制度，建立安全生产保证体系运行必需的安全记录。</w:t>
      </w:r>
    </w:p>
    <w:p w14:paraId="2CE20C88">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6、接受上级安全管理部门的业务指导，积极配合协助上级安全管理部门的安全生产检查。</w:t>
      </w:r>
    </w:p>
    <w:p w14:paraId="03A0580F">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7、协助工程副经理开展定期安全生产检查和复查，落实前次施工现场存在隐患整改情况，并做好检查记录。</w:t>
      </w:r>
    </w:p>
    <w:p w14:paraId="5DE0B0D6">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8、参加安全防护设施的验收，填写验收记录，并根据检验状况分别挂牌标识。配合物资设备部进行安全防护用品和机械设备的检查验收工作。</w:t>
      </w:r>
    </w:p>
    <w:p w14:paraId="37EB39F8">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9、根据上级规定，督促检查个人防护用品、保健食品、清凉饮料的正确使用。</w:t>
      </w:r>
    </w:p>
    <w:p w14:paraId="5C0E6421">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10、负责施工动火证的申报工作；参与安全技术措施交底。</w:t>
      </w:r>
    </w:p>
    <w:p w14:paraId="2B078654">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11、发生伤亡事故，应立即采取措施，开展救援工作，并保护施工现场，迅速报告；参加事故的调查、分析，处理并参与制定纠正和预防措施，防止事故再次发生。</w:t>
      </w:r>
    </w:p>
    <w:p w14:paraId="51EDFE9B">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（六）、专业施工队伍</w:t>
      </w:r>
    </w:p>
    <w:p w14:paraId="460088DD">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1、认真执行国家、地方和本公司安全生产的各项法规、规定、规章制度、安全操作规程及施工合同和安全协议书的有关条款，各工种队主要负责人是安全生产的第一责任人。</w:t>
      </w:r>
    </w:p>
    <w:p w14:paraId="648ABEC2">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2、严格履行各项劳务用工手续，做好本队人员的岗位安全培训，经常组织学习安全操作规程，监督本队人员遵守劳动、安全纪律，做到不违章指挥，制止违章作业。</w:t>
      </w:r>
    </w:p>
    <w:p w14:paraId="5AEF5293">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3、制订、实施安全生产各项管理制度、安全技术措施计划，保证本队安全生产。</w:t>
      </w:r>
    </w:p>
    <w:p w14:paraId="10A4C717">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4、必须保持本队人员的相对稳定，人员变更须事先向有关部门申报，批准后新来人员应按规定办理各种手续，并经入场和上岗安全教育后方准上岗。</w:t>
      </w:r>
    </w:p>
    <w:p w14:paraId="010A20D8">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5、根据上级有关安全生产、文明施工交底，向本队各工种进行详细的书面安全交底，针对当天任务、作业环境等情况，做好班前安全交底，监督其执行情况，发现问题，及时纠正、解决。</w:t>
      </w:r>
    </w:p>
    <w:p w14:paraId="55772C86">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6、定期和不定期组织检查本队人员作业现场安全生产状况，发现问题，及时纠正，重大隐患应立即上报有关领导。</w:t>
      </w:r>
    </w:p>
    <w:p w14:paraId="633FD0E0">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7、发生因工伤亡及未遂事故，应保护好现场，做好伤者抢救工作，并立即上报有关领导。</w:t>
      </w:r>
    </w:p>
    <w:p w14:paraId="1CD0BC06">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zh-CN" w:bidi="ar-SA"/>
        </w:rPr>
      </w:pPr>
      <w:bookmarkStart w:id="26" w:name="_Toc19265"/>
      <w:bookmarkStart w:id="27" w:name="_Toc320024906"/>
      <w:bookmarkStart w:id="28" w:name="_Toc232914820"/>
      <w:bookmarkStart w:id="29" w:name="_Toc264990587"/>
      <w:bookmarkStart w:id="30" w:name="_Toc175641579"/>
      <w:bookmarkStart w:id="31" w:name="_Toc233187702"/>
      <w:bookmarkStart w:id="32" w:name="_Toc267465732"/>
      <w:bookmarkStart w:id="33" w:name="_Toc175390622"/>
      <w:bookmarkStart w:id="34" w:name="_Toc44142101"/>
      <w:bookmarkStart w:id="35" w:name="_Toc269222168"/>
      <w:r>
        <w:rPr>
          <w:rFonts w:hint="eastAsia" w:ascii="仿宋" w:hAnsi="仿宋" w:eastAsia="仿宋" w:cs="仿宋"/>
          <w:b/>
          <w:bCs/>
          <w:snapToGrid w:val="0"/>
          <w:color w:val="auto"/>
          <w:kern w:val="2"/>
          <w:sz w:val="28"/>
          <w:szCs w:val="28"/>
          <w:lang w:val="en-US" w:eastAsia="zh-CN" w:bidi="ar-SA"/>
        </w:rPr>
        <w:t>第六节、车辆安全保障措施</w:t>
      </w:r>
      <w:bookmarkEnd w:id="26"/>
    </w:p>
    <w:p w14:paraId="05E92BCF">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1、车辆安全保障服务要求</w:t>
      </w:r>
    </w:p>
    <w:p w14:paraId="78FAB0EA">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（1）严格按照车辆技术管理规定的各项要求，做好车辆的整备维护、定程维护和安全环保检测工作。</w:t>
      </w:r>
    </w:p>
    <w:p w14:paraId="287014C6">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（2）落实救援服务和应急处置措施，保障维修、救援人员24小时在岗值班，按照标准配备救援、替换车辆，及时提供救援服务。</w:t>
      </w:r>
    </w:p>
    <w:p w14:paraId="47FFC096">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2、车辆养护</w:t>
      </w:r>
    </w:p>
    <w:p w14:paraId="2E5BC672">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（1）每日例行养护制度</w:t>
      </w:r>
    </w:p>
    <w:p w14:paraId="0797C36C">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①检查外观从左前门起，看看全车漆面有否新的划伤；玻璃状态、后视镜、前后车灯的状况等。</w:t>
      </w:r>
    </w:p>
    <w:p w14:paraId="056181C9">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②目视四个轮胎的胎压情况。如果某一轮胎胎压低，应及时补充并查明原因。</w:t>
      </w:r>
    </w:p>
    <w:p w14:paraId="3BA24AE7">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③目视车下的地面上是否有油、水迹。一旦发现有，应查明原因修复后再行驶。</w:t>
      </w:r>
    </w:p>
    <w:p w14:paraId="13B463C7">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④进入驾驶室，启动马达着车后，需要观察仪表盘上指示灯的工作情况，有无警告灯闪烁或常亮。</w:t>
      </w:r>
    </w:p>
    <w:p w14:paraId="1AD7B71D">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⑤检查雨刷片工作是否正常。</w:t>
      </w:r>
    </w:p>
    <w:p w14:paraId="3A65A352">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⑥检查转向信号灯工作是否正常。</w:t>
      </w:r>
    </w:p>
    <w:p w14:paraId="4A903030">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⑦在启动过程中和着车后，发动机是否有异常声音。</w:t>
      </w:r>
    </w:p>
    <w:p w14:paraId="3711CD20">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⑧检查空调是否制冷、有无异常声音。</w:t>
      </w:r>
    </w:p>
    <w:p w14:paraId="5AB20AD4">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⑨检查车内、外卫生，是否干净，有无异味。</w:t>
      </w:r>
    </w:p>
    <w:p w14:paraId="57472DFF">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⑩行进检查，行车前，应先踩几下刹车踏板，感觉刹车踏板高度是否正常。</w:t>
      </w:r>
    </w:p>
    <w:p w14:paraId="634E94EE">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⑪检验员做好详细的检查记录，向值班领导汇报汽车技术状况，根据情况提出报修项目。</w:t>
      </w:r>
    </w:p>
    <w:p w14:paraId="1253B66D">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⑫及时排除异常情况。</w:t>
      </w:r>
    </w:p>
    <w:p w14:paraId="300C552C">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（2）每周例行养护制度</w:t>
      </w:r>
    </w:p>
    <w:p w14:paraId="0DEF4F30">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①检查机油油面的高度。检查的条件：发动机水温需要达到80℃以上，使发动机不运转，车辆处于水平位置，等待3至5分钟后，拔出油尺，用干净的针织布或棉丝将其擦拭干净后，再将油尺插到底，然后拔出油尺检查其油面的位置。</w:t>
      </w:r>
    </w:p>
    <w:p w14:paraId="1817AD15">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②检查其它各种液面的高度，发现问题，应及时解决。</w:t>
      </w:r>
    </w:p>
    <w:p w14:paraId="49D6AFAD">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③检查备胎的气压情况，标准气压值见油箱盖处。一般情况下，轿车的轮胎气压一般为2.3-2.5巴，备胎2.5-2.9巴。具体数值需参照主机厂的要求。</w:t>
      </w:r>
    </w:p>
    <w:p w14:paraId="64307B5F">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④检查全车外部的灯光情况，特别是后部刹车灯，如有灯泡不亮，应及时更换。</w:t>
      </w:r>
    </w:p>
    <w:p w14:paraId="4D5C7563">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⑤以上养护必须在每周检查一次。做到有病早知道，早预防，避免病重麻烦多。</w:t>
      </w:r>
    </w:p>
    <w:p w14:paraId="25D9DD9F">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⑥检验员做好详细的检查记录，向值班领导汇报汽车技术状况，根据情况提出报修项目。</w:t>
      </w:r>
    </w:p>
    <w:p w14:paraId="5BFFCC18">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⑦及时排除异常情况。</w:t>
      </w:r>
    </w:p>
    <w:p w14:paraId="08DDF6EA">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（3）每月例行养护制度</w:t>
      </w:r>
    </w:p>
    <w:p w14:paraId="360F5BE9">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经过一个月的行驶，在每周的检查基础上，需要增加以下几个方面的检查。</w:t>
      </w:r>
    </w:p>
    <w:p w14:paraId="70E7EDE3">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①皮带的检查。有无裂纹、松紧，如出现裂纹应及时更换。</w:t>
      </w:r>
    </w:p>
    <w:p w14:paraId="0B744E2A">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②发动机的密封性。主要检查发动机表面有无渗漏现象。</w:t>
      </w:r>
    </w:p>
    <w:p w14:paraId="18DE9D01">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③目视水箱与冷凝器间是否有脏物堵塞。特别在夏季，如果其间隙中有赃物，将会影响到空调的制冷效果，需要用压缩空气进行清理。</w:t>
      </w:r>
    </w:p>
    <w:p w14:paraId="56A25F73">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④检查雨刷条的清洁程度和喷嘴的方向位置。在操作清理前风挡时，发现雨刷片刮不干净时，需尽快更换雨刷片。</w:t>
      </w:r>
    </w:p>
    <w:p w14:paraId="607FB7A4">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⑤检查所有轮胎的气压，包括备胎。</w:t>
      </w:r>
    </w:p>
    <w:p w14:paraId="3C382845">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⑥检查轮胎的花纹深度及磨损情况。轮胎花纹的磨损极限深度为1.6毫米，轮胎胎面应磨损均匀，如出现偏磨或者磨损异常，需要到维修站进行检查和调整，磨损严重，需更换轮胎。</w:t>
      </w:r>
    </w:p>
    <w:p w14:paraId="0F8EE9BD">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⑦检查电瓶装头表面是否有腐蚀物，如有白色或绿色污染物，用热水冲冼即可，避免用硬物或者拆下装头进行清洁。</w:t>
      </w:r>
    </w:p>
    <w:p w14:paraId="10337288">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⑧检验员做好详细的检查记录，向值班领导汇报汽车技术状况，根据情况提出报修项目。</w:t>
      </w:r>
    </w:p>
    <w:p w14:paraId="6BFCBDF4">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⑨及时排除、修正异常情况。</w:t>
      </w:r>
    </w:p>
    <w:p w14:paraId="403B2883">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（4）强制养护制度</w:t>
      </w:r>
    </w:p>
    <w:p w14:paraId="25C6F88A">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①保养空气滤清器。每行驶3000公里要进行空气滤清器的保养，拆开空气滤清罩的盖子，取出滤芯查看，如脏得不厉害，用一小棍子轻轻敲敲滤芯掸去污垢即可，如脏得很厉害，就要换新的滤芯了。</w:t>
      </w:r>
    </w:p>
    <w:p w14:paraId="79725599">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②更换机油每行驶7500公里要更换机油。</w:t>
      </w:r>
    </w:p>
    <w:p w14:paraId="5718BC31">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③四轮定位当车辆行驶时出现转向发沉、发抖、跑偏、不正、不归位、漂浮、颠颤、摇摆或轮胎单边磨损、波状磨损、块状磨损、偏磨等不正常的现象时，就必须进行四轮定位。</w:t>
      </w:r>
    </w:p>
    <w:p w14:paraId="6820E89F">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④刹车皮更换车辆行驶2—3年，要更换新的刹车皮。</w:t>
      </w:r>
    </w:p>
    <w:p w14:paraId="71E2ED32">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⑤更换燃油泵车辆行驶2—3年，要清洗或更换燃油泵。</w:t>
      </w:r>
    </w:p>
    <w:p w14:paraId="07535598">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⑥正时皮带更换车辆行驶7—10万公里，要更换正时皮带。</w:t>
      </w:r>
    </w:p>
    <w:p w14:paraId="706D6D03">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⑦其他车辆行驶4年后，车内的各种橡胶管老化、硬化，漏机油、漏水的问题就会出现。要及时更换这些橡胶管。5年左右车的水箱被化学物腐蚀，如果水箱漏水，要及时更换。</w:t>
      </w:r>
    </w:p>
    <w:p w14:paraId="52E2137C">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3、车辆日常安全检查</w:t>
      </w:r>
    </w:p>
    <w:p w14:paraId="42650D3D">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为了保证车辆的安全行驶，驾驶员每天务必做好出车前、行驶中和返回后的“三段查”工作，以确保行车安全。</w:t>
      </w:r>
    </w:p>
    <w:p w14:paraId="46C38BF3">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（1）出车前应对下列各项进行检查：</w:t>
      </w:r>
    </w:p>
    <w:p w14:paraId="31714798">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①检查燃油箱的贮油量，水箱的水量，曲轴箱内的机油量，必须要及时添加。</w:t>
      </w:r>
    </w:p>
    <w:p w14:paraId="4BD355B8">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②喇叭、灯光、雨刮器、后视镜、牌照等是否齐全有效。各紧固螺栓、螺母（轮胎、半轴、传动轴、钢板弹簧等处），是否有松脱现象。</w:t>
      </w:r>
    </w:p>
    <w:p w14:paraId="4D4617EF">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③轮胎气压是否符合规定。</w:t>
      </w:r>
    </w:p>
    <w:p w14:paraId="608215FE">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④发动机启动后，听声有无异响，检查各种仪表的工作是否正常，有关部位是否漏油、漏气、漏水。</w:t>
      </w:r>
    </w:p>
    <w:p w14:paraId="766E0A12">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⑤起步后、试验制动效能和转向机构是否灵活有效。</w:t>
      </w:r>
    </w:p>
    <w:p w14:paraId="4F15DA57">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（2）车辆行驶中应对下列进行检查：</w:t>
      </w:r>
    </w:p>
    <w:p w14:paraId="0E9DF534">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①检查各种仪表的工作情况。</w:t>
      </w:r>
    </w:p>
    <w:p w14:paraId="56ED53FF">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②检查手、脚制动器的作用是否灵敏有效。</w:t>
      </w:r>
    </w:p>
    <w:p w14:paraId="69E8429B">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③注意发动机及传动系统有无异响和异常气味。</w:t>
      </w:r>
    </w:p>
    <w:p w14:paraId="4018AF42">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④利用途中停车时间、检查制动有无过热现象；检查轮胎螺母紧固情况和轮胎气压，检查钢板弹簧是否有折断；检查转向机构各部连接情况；检查有无漏油、漏水、漏气现象。</w:t>
      </w:r>
    </w:p>
    <w:p w14:paraId="5339C226">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（3）车辆返回后应对下列各项进行检查：</w:t>
      </w:r>
    </w:p>
    <w:p w14:paraId="4E0EA111">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①清洁全车内、外部及底盘。</w:t>
      </w:r>
    </w:p>
    <w:p w14:paraId="32F8A030">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②检查和补充润滑油、燃料。</w:t>
      </w:r>
    </w:p>
    <w:p w14:paraId="78B87058">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③发动机熄火后，查看电流表、有无漏电现象（指针指向“一”号）。</w:t>
      </w:r>
    </w:p>
    <w:p w14:paraId="50162716">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④检查钢板弹簧有无断裂，弹簧吊身，骑马螺栓是否松脱。</w:t>
      </w:r>
    </w:p>
    <w:p w14:paraId="6ADCD03F">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⑤检查轮胎与钢圈。</w:t>
      </w:r>
    </w:p>
    <w:p w14:paraId="32F84C30">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⑥检查制动系油、气管及接头处有无渗漏、检查制动液贮油室油面，气制动的贮气筒应放净积水、油污。</w:t>
      </w:r>
    </w:p>
    <w:p w14:paraId="06CA65D1">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（4）有下列四种情况不准出车：</w:t>
      </w:r>
    </w:p>
    <w:p w14:paraId="10BFFF49">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①油电水系统有故障不出车；</w:t>
      </w:r>
    </w:p>
    <w:p w14:paraId="4B841EDA">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②制动设备性能不良不出车；</w:t>
      </w:r>
    </w:p>
    <w:p w14:paraId="3B85E8B3">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③安全设备不齐不出车；</w:t>
      </w:r>
    </w:p>
    <w:p w14:paraId="29541E83">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④司机身体状况不好不出车。</w:t>
      </w:r>
    </w:p>
    <w:p w14:paraId="66F796AC">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zh-CN" w:bidi="ar-SA"/>
        </w:rPr>
      </w:pPr>
      <w:bookmarkStart w:id="36" w:name="_Toc8233"/>
      <w:r>
        <w:rPr>
          <w:rFonts w:hint="eastAsia" w:ascii="仿宋" w:hAnsi="仿宋" w:eastAsia="仿宋" w:cs="仿宋"/>
          <w:b/>
          <w:bCs/>
          <w:snapToGrid w:val="0"/>
          <w:color w:val="auto"/>
          <w:kern w:val="2"/>
          <w:sz w:val="28"/>
          <w:szCs w:val="28"/>
          <w:lang w:val="en-US" w:eastAsia="zh-CN" w:bidi="ar-SA"/>
        </w:rPr>
        <w:t>第七节、机械操作安全培训</w:t>
      </w:r>
      <w:bookmarkEnd w:id="36"/>
    </w:p>
    <w:p w14:paraId="1A9F6573">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1.引言</w:t>
      </w:r>
    </w:p>
    <w:p w14:paraId="28C2FFFD">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机械设备是现代工业生产中不可或缺的一部分，它们的使用能够提高生产效率，减少人力成本。然而，机械设备的使用也存在一些潜在的安全风险，如果不正确地使用或维护机械设备，可能会导致事故和伤害发生。因此，进行机械设备安全培训对于提高工作人员的安全意识，减少事故的发生至关重要。</w:t>
      </w:r>
    </w:p>
    <w:p w14:paraId="66F0A032">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2.机械设备安全的重要性</w:t>
      </w:r>
    </w:p>
    <w:p w14:paraId="6105DC8B">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2.1 保护工作人员的生命安全和身体健康。机械设备在工作时可能会发生运行故障或失控，如果工作人员未能正确应对，可能会导致事故，造成生命和财产的损失。</w:t>
      </w:r>
    </w:p>
    <w:p w14:paraId="0F7639C8">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2.2 保护机械设备的完好性。正确使用和维护机械设备可以延长其使用寿命，减少由于误操作导致的损坏和故障。</w:t>
      </w:r>
    </w:p>
    <w:p w14:paraId="28274EC3">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3.机械设备安全培训内容</w:t>
      </w:r>
    </w:p>
    <w:p w14:paraId="71B4FEBB">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3.1 了解机械设备的基本原理和使用方法。培训内容应包括机械设备的结构和工作原理，以及使用机械设备的基本方法和技巧。</w:t>
      </w:r>
    </w:p>
    <w:p w14:paraId="57AA77AF">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3.2 学习机械设备的安全操作规程。培训内容应包括机械设备的安全操作规定，如需要佩戴安全帽和护目镜等个人防护设备，如何正确使用机械设备的控制装置等。</w:t>
      </w:r>
    </w:p>
    <w:p w14:paraId="26DF87C3">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3.3 掌握机械设备的常见故障和维修方法。培训内容应包括机械设备常见的故障类型和处理方法，如何进行常规检查和维护。</w:t>
      </w:r>
    </w:p>
    <w:p w14:paraId="34029145">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4.机械设备安全培训的实施方式</w:t>
      </w:r>
    </w:p>
    <w:p w14:paraId="22B5B48D">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4.1 理论培训。通过课堂教学的方式，向工作人员传达机械设备安全知识，提高他们的安全意识和操作技能。</w:t>
      </w:r>
    </w:p>
    <w:p w14:paraId="1ACB8FE2">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4.2 实践培训。组织工作人员进行机械设备的实际操作，让他们亲自体验机械设备的使用和维修过程，进一步巩固他们的知识和技能。</w:t>
      </w:r>
    </w:p>
    <w:p w14:paraId="25C97D16">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4.3 案例分析和经验交流。通过深入分析机械设备事故案例，总结教训和经验，提醒工作人员在工作中避免类似的错误。</w:t>
      </w:r>
    </w:p>
    <w:p w14:paraId="17231F02">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5.机械设备安全培训的评估和改进</w:t>
      </w:r>
    </w:p>
    <w:p w14:paraId="17497284">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5.1 培训评估。进行培训效果评估，了解工作人员对于培训内容的掌握程度和满意度，以及培训对于工作人员安全意识的影响。</w:t>
      </w:r>
    </w:p>
    <w:p w14:paraId="165F1B62">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5.2 培训改进。根据培训评估结果，及时调整培训内容和方式，对不足之处进行改进，提高培训的针对性和实效性。</w:t>
      </w:r>
    </w:p>
    <w:p w14:paraId="5D1F3E42">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6.机械设备安全培训的效益</w:t>
      </w:r>
    </w:p>
    <w:p w14:paraId="71F3E47F">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6.1 降低事故的发生率。提高工作人员的安全意识和技能，帮助他们正确操作机械设备，减少事故的发生。</w:t>
      </w:r>
    </w:p>
    <w:p w14:paraId="6371EC02">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6.2 提高工作效率。工作人员对机械设备的正确使用和维护，可以减少意外故障和停机时间，提高生产效率。</w:t>
      </w:r>
    </w:p>
    <w:p w14:paraId="0CE87B96">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6.3 减少人力和财务损失。正确使用和维护机械设备可以延长其使用寿命，减少由于误操作导致的损坏和故障，减少维修和更换机械设备的成本。</w:t>
      </w:r>
    </w:p>
    <w:p w14:paraId="4A424000">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7.结论</w:t>
      </w:r>
    </w:p>
    <w:p w14:paraId="5A08CD63">
      <w:pPr>
        <w:keepNext w:val="0"/>
        <w:keepLines w:val="0"/>
        <w:pageBreakBefore w:val="0"/>
        <w:widowControl/>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机械设备安全培训对于提高工作人员的安全意识和技能，减少事故的发生具有重要意义。通过合理的培训内容和方式，可以有效地提高工作人员对机械设备安全的理解和操作能力，保障生产过程的顺利进行。同时，机械设备安全培训也可以降低事故的发生率，提高生产效率，减少人力和财务损失，对企业的可持续发展具有积极的促进作用。</w:t>
      </w:r>
    </w:p>
    <w:p w14:paraId="604C57FB">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en-US" w:bidi="ar-SA"/>
        </w:rPr>
      </w:pPr>
      <w:r>
        <w:rPr>
          <w:rFonts w:hint="eastAsia" w:ascii="仿宋" w:hAnsi="仿宋" w:eastAsia="仿宋" w:cs="仿宋"/>
          <w:b/>
          <w:bCs/>
          <w:snapToGrid w:val="0"/>
          <w:color w:val="auto"/>
          <w:kern w:val="2"/>
          <w:sz w:val="28"/>
          <w:szCs w:val="28"/>
          <w:lang w:val="en-US" w:eastAsia="en-US" w:bidi="ar-SA"/>
        </w:rPr>
        <w:t>第八节、施工现场治安保卫措施</w:t>
      </w:r>
      <w:bookmarkEnd w:id="27"/>
      <w:bookmarkEnd w:id="28"/>
      <w:bookmarkEnd w:id="29"/>
      <w:bookmarkEnd w:id="30"/>
      <w:bookmarkEnd w:id="31"/>
      <w:bookmarkEnd w:id="32"/>
      <w:bookmarkEnd w:id="33"/>
      <w:bookmarkEnd w:id="34"/>
      <w:bookmarkEnd w:id="35"/>
    </w:p>
    <w:p w14:paraId="6539795B">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1.治安保卫组织管理网络</w:t>
      </w:r>
    </w:p>
    <w:p w14:paraId="187B5FDB">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成立保卫工作领导小组，以项目经理为组长，安全负责人为副组长，其他成员若干人。</w:t>
      </w:r>
    </w:p>
    <w:p w14:paraId="241A8281">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2.职责与任务</w:t>
      </w:r>
    </w:p>
    <w:p w14:paraId="64B4F6AC">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对施工人员进行培训，使其了解安全保卫在本工程中的重要性。明确个人的职责和义务。</w:t>
      </w:r>
    </w:p>
    <w:p w14:paraId="7CA34E49">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3.保卫工作措施</w:t>
      </w:r>
    </w:p>
    <w:p w14:paraId="5E924A0D">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为了加强施工现场的保卫工作，确保建设工程的顺利进行，结合工程的实际情况，为预防各类盗窃、破坏案件的发生，特制定本工程的保卫工作方案。</w:t>
      </w:r>
    </w:p>
    <w:p w14:paraId="0D80EFA9">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3.1单位工程设立由6人组成的保卫领导小组，由单位工程负责人任组长，负责全面领导工作，安全负责人任副组长，其它成员共8人。</w:t>
      </w:r>
    </w:p>
    <w:p w14:paraId="1DC6D5A2">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3.2施工现场在大门、主要道路及主要施工部位设置录像监控系统，对进出车辆、人员进行全天监控，以保证施工现场的安全，保证施工的顺利进行。</w:t>
      </w:r>
    </w:p>
    <w:p w14:paraId="77FAA57E">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3.2工地设门卫值班室，由专人昼夜轮流值班，白天对外来人员和进出车辆及所有物资进行登记，夜间值班巡逻护场。</w:t>
      </w:r>
    </w:p>
    <w:p w14:paraId="2F48B8BA">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3.3加强对外地民工的管理，摸清人员底数，掌握每个人的思想动态，及时进行教育，把事故消灭在萌芽状态。施工人员不得住在施工现场，特殊情况要经保卫工作负责人批准。</w:t>
      </w:r>
    </w:p>
    <w:p w14:paraId="76AC801C">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3.4每月对职工进行一次治安教育，每季度召开一次治保会，定期组织保卫检查，并将会议检查整改记录存入内业资料内备查。</w:t>
      </w:r>
    </w:p>
    <w:p w14:paraId="5930C4D6">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3.5对易燃、易爆、有毒物品设专库、专管，非经单位工程负责人批准，任何人都不得动用。不按此执行，造成后果追究当事人的刑事责任。</w:t>
      </w:r>
    </w:p>
    <w:p w14:paraId="3606B97E">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3.6施工现场必须按照“谁主管，谁负责”的原则，确定党政主要领导干部负责保卫工作。有总、各工种单位的工程，实行总承包单位负责的保卫工作责任制，建立保卫工作领导小组，与各工种单位签订保卫工作责任书。各各工种单位应接受总承包单位的统一领导和监督检查。</w:t>
      </w:r>
    </w:p>
    <w:p w14:paraId="21EB4ACF">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3.7施工现场要建立门卫和巡逻护场制度，护场守卫人员要佩带执勤标志。</w:t>
      </w:r>
    </w:p>
    <w:p w14:paraId="4BC4C051">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3.8施工现场发生各类案件和灾害事故，要立即报告并保护好现场，配合公安机关侦破。</w:t>
      </w:r>
    </w:p>
    <w:p w14:paraId="317AC100">
      <w:pPr>
        <w:keepNext w:val="0"/>
        <w:keepLines w:val="0"/>
        <w:widowControl/>
        <w:suppressLineNumbers w:val="0"/>
        <w:spacing w:line="600" w:lineRule="auto"/>
        <w:ind w:left="0" w:leftChars="0" w:firstLine="0" w:firstLineChars="0"/>
        <w:jc w:val="center"/>
        <w:outlineLvl w:val="1"/>
        <w:rPr>
          <w:rFonts w:hint="eastAsia" w:ascii="仿宋" w:hAnsi="仿宋" w:eastAsia="仿宋" w:cs="仿宋"/>
          <w:color w:val="auto"/>
          <w:sz w:val="28"/>
          <w:szCs w:val="28"/>
        </w:rPr>
      </w:pPr>
      <w:bookmarkStart w:id="37" w:name="_Toc20939"/>
      <w:r>
        <w:rPr>
          <w:rFonts w:hint="eastAsia" w:ascii="仿宋" w:hAnsi="仿宋" w:eastAsia="仿宋" w:cs="仿宋"/>
          <w:b/>
          <w:bCs/>
          <w:color w:val="auto"/>
          <w:kern w:val="0"/>
          <w:sz w:val="28"/>
          <w:szCs w:val="28"/>
          <w:lang w:val="en-US" w:eastAsia="zh-CN" w:bidi="ar"/>
        </w:rPr>
        <w:t>第三章：文明施工及环境保护组织措施</w:t>
      </w:r>
      <w:bookmarkEnd w:id="37"/>
    </w:p>
    <w:p w14:paraId="4D4E926C">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en-US" w:bidi="ar-SA"/>
        </w:rPr>
      </w:pPr>
      <w:bookmarkStart w:id="38" w:name="_Toc44142102"/>
      <w:bookmarkStart w:id="39" w:name="_Toc44142053"/>
      <w:bookmarkStart w:id="40" w:name="_Toc433710434"/>
      <w:bookmarkStart w:id="41" w:name="_Toc44142082"/>
      <w:r>
        <w:rPr>
          <w:rFonts w:hint="eastAsia" w:ascii="仿宋" w:hAnsi="仿宋" w:eastAsia="仿宋" w:cs="仿宋"/>
          <w:b/>
          <w:bCs/>
          <w:snapToGrid w:val="0"/>
          <w:color w:val="auto"/>
          <w:kern w:val="2"/>
          <w:sz w:val="28"/>
          <w:szCs w:val="28"/>
          <w:lang w:val="en-US" w:eastAsia="en-US" w:bidi="ar-SA"/>
        </w:rPr>
        <w:t>第</w:t>
      </w:r>
      <w:r>
        <w:rPr>
          <w:rFonts w:hint="eastAsia" w:ascii="仿宋" w:hAnsi="仿宋" w:eastAsia="仿宋" w:cs="仿宋"/>
          <w:b/>
          <w:bCs/>
          <w:snapToGrid w:val="0"/>
          <w:color w:val="auto"/>
          <w:kern w:val="2"/>
          <w:sz w:val="28"/>
          <w:szCs w:val="28"/>
          <w:lang w:val="en-US" w:eastAsia="zh-CN" w:bidi="ar-SA"/>
        </w:rPr>
        <w:t>一</w:t>
      </w:r>
      <w:r>
        <w:rPr>
          <w:rFonts w:hint="eastAsia" w:ascii="仿宋" w:hAnsi="仿宋" w:eastAsia="仿宋" w:cs="仿宋"/>
          <w:b/>
          <w:bCs/>
          <w:snapToGrid w:val="0"/>
          <w:color w:val="auto"/>
          <w:kern w:val="2"/>
          <w:sz w:val="28"/>
          <w:szCs w:val="28"/>
          <w:lang w:val="en-US" w:eastAsia="en-US" w:bidi="ar-SA"/>
        </w:rPr>
        <w:t>节、文明施工管理目标</w:t>
      </w:r>
      <w:bookmarkEnd w:id="38"/>
    </w:p>
    <w:p w14:paraId="6A43AA91">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文明施工目标：确保达到</w:t>
      </w:r>
      <w:r>
        <w:rPr>
          <w:rFonts w:hint="eastAsia" w:ascii="仿宋" w:hAnsi="仿宋" w:eastAsia="仿宋" w:cs="仿宋"/>
          <w:snapToGrid w:val="0"/>
          <w:color w:val="auto"/>
          <w:kern w:val="2"/>
          <w:sz w:val="28"/>
          <w:szCs w:val="28"/>
          <w:lang w:val="en-US" w:eastAsia="zh-CN" w:bidi="ar-SA"/>
        </w:rPr>
        <w:t>市</w:t>
      </w:r>
      <w:r>
        <w:rPr>
          <w:rFonts w:hint="eastAsia" w:ascii="仿宋" w:hAnsi="仿宋" w:eastAsia="仿宋" w:cs="仿宋"/>
          <w:snapToGrid w:val="0"/>
          <w:color w:val="auto"/>
          <w:kern w:val="2"/>
          <w:sz w:val="28"/>
          <w:szCs w:val="28"/>
          <w:lang w:val="en-US" w:eastAsia="en-US" w:bidi="ar-SA"/>
        </w:rPr>
        <w:t>级文明工地标准。</w:t>
      </w:r>
    </w:p>
    <w:p w14:paraId="15D1198A">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en-US" w:bidi="ar-SA"/>
        </w:rPr>
      </w:pPr>
      <w:bookmarkStart w:id="42" w:name="_Toc44142103"/>
      <w:r>
        <w:rPr>
          <w:rFonts w:hint="eastAsia" w:ascii="仿宋" w:hAnsi="仿宋" w:eastAsia="仿宋" w:cs="仿宋"/>
          <w:b/>
          <w:bCs/>
          <w:snapToGrid w:val="0"/>
          <w:color w:val="auto"/>
          <w:kern w:val="2"/>
          <w:sz w:val="28"/>
          <w:szCs w:val="28"/>
          <w:lang w:val="en-US" w:eastAsia="en-US" w:bidi="ar-SA"/>
        </w:rPr>
        <w:t>第</w:t>
      </w:r>
      <w:r>
        <w:rPr>
          <w:rFonts w:hint="eastAsia" w:ascii="仿宋" w:hAnsi="仿宋" w:eastAsia="仿宋" w:cs="仿宋"/>
          <w:b/>
          <w:bCs/>
          <w:snapToGrid w:val="0"/>
          <w:color w:val="auto"/>
          <w:kern w:val="2"/>
          <w:sz w:val="28"/>
          <w:szCs w:val="28"/>
          <w:lang w:val="en-US" w:eastAsia="zh-CN" w:bidi="ar-SA"/>
        </w:rPr>
        <w:t>二</w:t>
      </w:r>
      <w:r>
        <w:rPr>
          <w:rFonts w:hint="eastAsia" w:ascii="仿宋" w:hAnsi="仿宋" w:eastAsia="仿宋" w:cs="仿宋"/>
          <w:b/>
          <w:bCs/>
          <w:snapToGrid w:val="0"/>
          <w:color w:val="auto"/>
          <w:kern w:val="2"/>
          <w:sz w:val="28"/>
          <w:szCs w:val="28"/>
          <w:lang w:val="en-US" w:eastAsia="en-US" w:bidi="ar-SA"/>
        </w:rPr>
        <w:t>节、文明施工管理体系建立</w:t>
      </w:r>
      <w:bookmarkEnd w:id="42"/>
    </w:p>
    <w:p w14:paraId="6F54726E">
      <w:pPr>
        <w:keepNext w:val="0"/>
        <w:keepLines w:val="0"/>
        <w:pageBreakBefore w:val="0"/>
        <w:widowControl/>
        <w:kinsoku/>
        <w:wordWrap/>
        <w:overflowPunct/>
        <w:autoSpaceDE w:val="0"/>
        <w:autoSpaceDN w:val="0"/>
        <w:bidi w:val="0"/>
        <w:adjustRightInd w:val="0"/>
        <w:snapToGrid w:val="0"/>
        <w:spacing w:after="0" w:line="600" w:lineRule="auto"/>
        <w:ind w:firstLine="0" w:firstLineChars="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mc:AlternateContent>
          <mc:Choice Requires="wpg">
            <w:drawing>
              <wp:inline distT="0" distB="0" distL="114300" distR="114300">
                <wp:extent cx="5508625" cy="5318125"/>
                <wp:effectExtent l="5080" t="4445" r="10795" b="11430"/>
                <wp:docPr id="3" name="组合 3"/>
                <wp:cNvGraphicFramePr/>
                <a:graphic xmlns:a="http://schemas.openxmlformats.org/drawingml/2006/main">
                  <a:graphicData uri="http://schemas.microsoft.com/office/word/2010/wordprocessingGroup">
                    <wpg:wgp>
                      <wpg:cNvGrpSpPr/>
                      <wpg:grpSpPr>
                        <a:xfrm>
                          <a:off x="0" y="0"/>
                          <a:ext cx="5508625" cy="5318125"/>
                          <a:chOff x="1238" y="2038"/>
                          <a:chExt cx="9556" cy="5824"/>
                        </a:xfrm>
                      </wpg:grpSpPr>
                      <wps:wsp>
                        <wps:cNvPr id="76" name="直接连接符 80"/>
                        <wps:cNvCnPr/>
                        <wps:spPr>
                          <a:xfrm>
                            <a:off x="3398" y="3036"/>
                            <a:ext cx="4860" cy="0"/>
                          </a:xfrm>
                          <a:prstGeom prst="line">
                            <a:avLst/>
                          </a:prstGeom>
                          <a:ln w="9525" cap="flat" cmpd="sng">
                            <a:solidFill>
                              <a:srgbClr val="000000"/>
                            </a:solidFill>
                            <a:prstDash val="solid"/>
                            <a:headEnd type="none" w="med" len="med"/>
                            <a:tailEnd type="none" w="med" len="med"/>
                          </a:ln>
                        </wps:spPr>
                        <wps:bodyPr upright="1"/>
                      </wps:wsp>
                      <wpg:grpSp>
                        <wpg:cNvPr id="9" name="组合 113"/>
                        <wpg:cNvGrpSpPr/>
                        <wpg:grpSpPr>
                          <a:xfrm>
                            <a:off x="1238" y="2038"/>
                            <a:ext cx="9556" cy="5824"/>
                            <a:chOff x="1238" y="2038"/>
                            <a:chExt cx="9556" cy="5824"/>
                          </a:xfrm>
                        </wpg:grpSpPr>
                        <wps:wsp>
                          <wps:cNvPr id="88" name="文本框 81"/>
                          <wps:cNvSpPr txBox="1"/>
                          <wps:spPr>
                            <a:xfrm>
                              <a:off x="4477" y="2038"/>
                              <a:ext cx="2686" cy="516"/>
                            </a:xfrm>
                            <a:prstGeom prst="rect">
                              <a:avLst/>
                            </a:prstGeom>
                            <a:solidFill>
                              <a:srgbClr val="99CCFF"/>
                            </a:solidFill>
                            <a:ln w="9525" cap="flat" cmpd="sng">
                              <a:solidFill>
                                <a:srgbClr val="000000"/>
                              </a:solidFill>
                              <a:prstDash val="solid"/>
                              <a:miter/>
                              <a:headEnd type="none" w="med" len="med"/>
                              <a:tailEnd type="none" w="med" len="med"/>
                            </a:ln>
                          </wps:spPr>
                          <wps:txbx>
                            <w:txbxContent>
                              <w:p w14:paraId="10F9366C">
                                <w:pPr>
                                  <w:widowControl/>
                                  <w:kinsoku w:val="0"/>
                                  <w:autoSpaceDE w:val="0"/>
                                  <w:autoSpaceDN w:val="0"/>
                                  <w:adjustRightInd w:val="0"/>
                                  <w:snapToGrid w:val="0"/>
                                  <w:spacing w:line="240" w:lineRule="auto"/>
                                  <w:ind w:firstLine="0" w:firstLineChars="0"/>
                                  <w:jc w:val="left"/>
                                  <w:textAlignment w:val="baseline"/>
                                  <w:rPr>
                                    <w:rFonts w:hint="eastAsia" w:ascii="宋体" w:hAnsi="宋体" w:eastAsia="Arial" w:cs="Arial"/>
                                    <w:snapToGrid w:val="0"/>
                                    <w:color w:val="000000"/>
                                    <w:kern w:val="0"/>
                                    <w:sz w:val="24"/>
                                    <w:szCs w:val="21"/>
                                    <w:lang w:eastAsia="en-US"/>
                                  </w:rPr>
                                </w:pPr>
                                <w:r>
                                  <w:rPr>
                                    <w:rFonts w:hint="eastAsia" w:ascii="宋体" w:hAnsi="宋体" w:eastAsia="Arial" w:cs="Arial"/>
                                    <w:snapToGrid w:val="0"/>
                                    <w:color w:val="000000"/>
                                    <w:kern w:val="0"/>
                                    <w:sz w:val="24"/>
                                    <w:szCs w:val="21"/>
                                    <w:lang w:eastAsia="en-US"/>
                                  </w:rPr>
                                  <w:t>项目经理(组长)</w:t>
                                </w:r>
                              </w:p>
                            </w:txbxContent>
                          </wps:txbx>
                          <wps:bodyPr lIns="216000" tIns="36000" rIns="216000" bIns="36000" upright="1"/>
                        </wps:wsp>
                        <wps:wsp>
                          <wps:cNvPr id="89" name="文本框 82"/>
                          <wps:cNvSpPr txBox="1"/>
                          <wps:spPr>
                            <a:xfrm>
                              <a:off x="1998" y="3516"/>
                              <a:ext cx="2812" cy="516"/>
                            </a:xfrm>
                            <a:prstGeom prst="rect">
                              <a:avLst/>
                            </a:prstGeom>
                            <a:solidFill>
                              <a:srgbClr val="99CCFF"/>
                            </a:solidFill>
                            <a:ln w="9525" cap="flat" cmpd="sng">
                              <a:solidFill>
                                <a:srgbClr val="000000"/>
                              </a:solidFill>
                              <a:prstDash val="solid"/>
                              <a:miter/>
                              <a:headEnd type="none" w="med" len="med"/>
                              <a:tailEnd type="none" w="med" len="med"/>
                            </a:ln>
                          </wps:spPr>
                          <wps:txbx>
                            <w:txbxContent>
                              <w:p w14:paraId="01A4B65D">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项目副经理(副组长)</w:t>
                                </w:r>
                              </w:p>
                            </w:txbxContent>
                          </wps:txbx>
                          <wps:bodyPr lIns="108000" tIns="36000" rIns="108000" bIns="36000" upright="1"/>
                        </wps:wsp>
                        <wps:wsp>
                          <wps:cNvPr id="90" name="文本框 83"/>
                          <wps:cNvSpPr txBox="1"/>
                          <wps:spPr>
                            <a:xfrm>
                              <a:off x="6860" y="3514"/>
                              <a:ext cx="2812" cy="516"/>
                            </a:xfrm>
                            <a:prstGeom prst="rect">
                              <a:avLst/>
                            </a:prstGeom>
                            <a:solidFill>
                              <a:srgbClr val="99CCFF"/>
                            </a:solidFill>
                            <a:ln w="9525" cap="flat" cmpd="sng">
                              <a:solidFill>
                                <a:srgbClr val="000000"/>
                              </a:solidFill>
                              <a:prstDash val="solid"/>
                              <a:miter/>
                              <a:headEnd type="none" w="med" len="med"/>
                              <a:tailEnd type="none" w="med" len="med"/>
                            </a:ln>
                          </wps:spPr>
                          <wps:txbx>
                            <w:txbxContent>
                              <w:p w14:paraId="1AD4189E">
                                <w:pPr>
                                  <w:widowControl/>
                                  <w:kinsoku w:val="0"/>
                                  <w:autoSpaceDE w:val="0"/>
                                  <w:autoSpaceDN w:val="0"/>
                                  <w:adjustRightInd w:val="0"/>
                                  <w:snapToGrid w:val="0"/>
                                  <w:spacing w:line="240" w:lineRule="auto"/>
                                  <w:ind w:firstLine="0" w:firstLineChars="0"/>
                                  <w:jc w:val="center"/>
                                  <w:textAlignment w:val="baseline"/>
                                  <w:rPr>
                                    <w:rFonts w:hint="eastAsia" w:ascii="宋体" w:hAnsi="宋体" w:eastAsia="Arial" w:cs="Arial"/>
                                    <w:snapToGrid w:val="0"/>
                                    <w:color w:val="000000"/>
                                    <w:kern w:val="0"/>
                                    <w:sz w:val="24"/>
                                    <w:szCs w:val="21"/>
                                    <w:lang w:eastAsia="en-US"/>
                                  </w:rPr>
                                </w:pPr>
                                <w:r>
                                  <w:rPr>
                                    <w:rFonts w:hint="eastAsia" w:ascii="宋体" w:hAnsi="宋体" w:eastAsia="Arial" w:cs="Arial"/>
                                    <w:snapToGrid w:val="0"/>
                                    <w:color w:val="000000"/>
                                    <w:kern w:val="0"/>
                                    <w:sz w:val="24"/>
                                    <w:szCs w:val="21"/>
                                    <w:lang w:eastAsia="en-US"/>
                                  </w:rPr>
                                  <w:t>技术负责人(副组长)</w:t>
                                </w:r>
                              </w:p>
                            </w:txbxContent>
                          </wps:txbx>
                          <wps:bodyPr lIns="108000" tIns="36000" rIns="108000" bIns="36000" upright="1"/>
                        </wps:wsp>
                        <wps:wsp>
                          <wps:cNvPr id="91" name="直接连接符 84"/>
                          <wps:cNvCnPr/>
                          <wps:spPr>
                            <a:xfrm>
                              <a:off x="5918" y="2568"/>
                              <a:ext cx="0" cy="468"/>
                            </a:xfrm>
                            <a:prstGeom prst="line">
                              <a:avLst/>
                            </a:prstGeom>
                            <a:ln w="9525" cap="flat" cmpd="sng">
                              <a:solidFill>
                                <a:srgbClr val="000000"/>
                              </a:solidFill>
                              <a:prstDash val="solid"/>
                              <a:headEnd type="none" w="med" len="med"/>
                              <a:tailEnd type="triangle" w="med" len="med"/>
                            </a:ln>
                          </wps:spPr>
                          <wps:bodyPr upright="1"/>
                        </wps:wsp>
                        <wps:wsp>
                          <wps:cNvPr id="92" name="直接连接符 85"/>
                          <wps:cNvCnPr/>
                          <wps:spPr>
                            <a:xfrm>
                              <a:off x="3398" y="3044"/>
                              <a:ext cx="0" cy="468"/>
                            </a:xfrm>
                            <a:prstGeom prst="line">
                              <a:avLst/>
                            </a:prstGeom>
                            <a:ln w="9525" cap="flat" cmpd="sng">
                              <a:solidFill>
                                <a:srgbClr val="000000"/>
                              </a:solidFill>
                              <a:prstDash val="solid"/>
                              <a:headEnd type="none" w="med" len="med"/>
                              <a:tailEnd type="triangle" w="med" len="med"/>
                            </a:ln>
                          </wps:spPr>
                          <wps:bodyPr upright="1"/>
                        </wps:wsp>
                        <wps:wsp>
                          <wps:cNvPr id="116" name="直接连接符 86"/>
                          <wps:cNvCnPr/>
                          <wps:spPr>
                            <a:xfrm>
                              <a:off x="8258" y="3044"/>
                              <a:ext cx="0" cy="468"/>
                            </a:xfrm>
                            <a:prstGeom prst="line">
                              <a:avLst/>
                            </a:prstGeom>
                            <a:ln w="9525" cap="flat" cmpd="sng">
                              <a:solidFill>
                                <a:srgbClr val="000000"/>
                              </a:solidFill>
                              <a:prstDash val="solid"/>
                              <a:headEnd type="none" w="med" len="med"/>
                              <a:tailEnd type="triangle" w="med" len="med"/>
                            </a:ln>
                          </wps:spPr>
                          <wps:bodyPr upright="1"/>
                        </wps:wsp>
                        <wps:wsp>
                          <wps:cNvPr id="117" name="直接连接符 87"/>
                          <wps:cNvCnPr/>
                          <wps:spPr>
                            <a:xfrm>
                              <a:off x="3398" y="4040"/>
                              <a:ext cx="0" cy="468"/>
                            </a:xfrm>
                            <a:prstGeom prst="line">
                              <a:avLst/>
                            </a:prstGeom>
                            <a:ln w="9525" cap="flat" cmpd="sng">
                              <a:solidFill>
                                <a:srgbClr val="000000"/>
                              </a:solidFill>
                              <a:prstDash val="solid"/>
                              <a:headEnd type="none" w="med" len="med"/>
                              <a:tailEnd type="triangle" w="med" len="med"/>
                            </a:ln>
                          </wps:spPr>
                          <wps:bodyPr upright="1"/>
                        </wps:wsp>
                        <wps:wsp>
                          <wps:cNvPr id="118" name="直接连接符 88"/>
                          <wps:cNvCnPr/>
                          <wps:spPr>
                            <a:xfrm>
                              <a:off x="8258" y="4040"/>
                              <a:ext cx="0" cy="468"/>
                            </a:xfrm>
                            <a:prstGeom prst="line">
                              <a:avLst/>
                            </a:prstGeom>
                            <a:ln w="9525" cap="flat" cmpd="sng">
                              <a:solidFill>
                                <a:srgbClr val="000000"/>
                              </a:solidFill>
                              <a:prstDash val="solid"/>
                              <a:headEnd type="none" w="med" len="med"/>
                              <a:tailEnd type="triangle" w="med" len="med"/>
                            </a:ln>
                          </wps:spPr>
                          <wps:bodyPr upright="1"/>
                        </wps:wsp>
                        <wps:wsp>
                          <wps:cNvPr id="119" name="文本框 89"/>
                          <wps:cNvSpPr txBox="1"/>
                          <wps:spPr>
                            <a:xfrm>
                              <a:off x="1238" y="5959"/>
                              <a:ext cx="1808" cy="516"/>
                            </a:xfrm>
                            <a:prstGeom prst="rect">
                              <a:avLst/>
                            </a:prstGeom>
                            <a:solidFill>
                              <a:srgbClr val="99CCFF"/>
                            </a:solidFill>
                            <a:ln w="9525" cap="flat" cmpd="sng">
                              <a:solidFill>
                                <a:srgbClr val="000000"/>
                              </a:solidFill>
                              <a:prstDash val="solid"/>
                              <a:miter/>
                              <a:headEnd type="none" w="med" len="med"/>
                              <a:tailEnd type="none" w="med" len="med"/>
                            </a:ln>
                          </wps:spPr>
                          <wps:txbx>
                            <w:txbxContent>
                              <w:p w14:paraId="222F8935">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卫生清扫小队</w:t>
                                </w:r>
                              </w:p>
                            </w:txbxContent>
                          </wps:txbx>
                          <wps:bodyPr lIns="108000" tIns="36000" rIns="108000" bIns="36000" upright="1"/>
                        </wps:wsp>
                        <wps:wsp>
                          <wps:cNvPr id="120" name="文本框 90"/>
                          <wps:cNvSpPr txBox="1"/>
                          <wps:spPr>
                            <a:xfrm>
                              <a:off x="8966" y="5958"/>
                              <a:ext cx="1808" cy="516"/>
                            </a:xfrm>
                            <a:prstGeom prst="rect">
                              <a:avLst/>
                            </a:prstGeom>
                            <a:solidFill>
                              <a:srgbClr val="99CCFF"/>
                            </a:solidFill>
                            <a:ln w="9525" cap="flat" cmpd="sng">
                              <a:solidFill>
                                <a:srgbClr val="000000"/>
                              </a:solidFill>
                              <a:prstDash val="solid"/>
                              <a:miter/>
                              <a:headEnd type="none" w="med" len="med"/>
                              <a:tailEnd type="none" w="med" len="med"/>
                            </a:ln>
                          </wps:spPr>
                          <wps:txbx>
                            <w:txbxContent>
                              <w:p w14:paraId="502B9C46">
                                <w:pPr>
                                  <w:widowControl/>
                                  <w:kinsoku w:val="0"/>
                                  <w:autoSpaceDE w:val="0"/>
                                  <w:autoSpaceDN w:val="0"/>
                                  <w:adjustRightInd w:val="0"/>
                                  <w:snapToGrid w:val="0"/>
                                  <w:spacing w:line="240" w:lineRule="auto"/>
                                  <w:ind w:firstLine="0" w:firstLineChars="0"/>
                                  <w:jc w:val="left"/>
                                  <w:textAlignment w:val="baseline"/>
                                  <w:rPr>
                                    <w:rFonts w:hint="eastAsia" w:ascii="宋体" w:hAnsi="宋体" w:eastAsia="Arial" w:cs="Arial"/>
                                    <w:snapToGrid w:val="0"/>
                                    <w:color w:val="000000"/>
                                    <w:kern w:val="0"/>
                                    <w:sz w:val="24"/>
                                    <w:szCs w:val="21"/>
                                    <w:lang w:eastAsia="en-US"/>
                                  </w:rPr>
                                </w:pPr>
                                <w:r>
                                  <w:rPr>
                                    <w:rFonts w:hint="eastAsia" w:ascii="宋体" w:hAnsi="宋体" w:eastAsia="Arial" w:cs="Arial"/>
                                    <w:snapToGrid w:val="0"/>
                                    <w:color w:val="000000"/>
                                    <w:kern w:val="0"/>
                                    <w:sz w:val="24"/>
                                    <w:szCs w:val="21"/>
                                    <w:lang w:eastAsia="en-US"/>
                                  </w:rPr>
                                  <w:t>文明检查员</w:t>
                                </w:r>
                              </w:p>
                            </w:txbxContent>
                          </wps:txbx>
                          <wps:bodyPr lIns="108000" tIns="36000" rIns="108000" bIns="36000" upright="1"/>
                        </wps:wsp>
                        <wps:wsp>
                          <wps:cNvPr id="121" name="文本框 91"/>
                          <wps:cNvSpPr txBox="1"/>
                          <wps:spPr>
                            <a:xfrm>
                              <a:off x="6456" y="5958"/>
                              <a:ext cx="1807" cy="516"/>
                            </a:xfrm>
                            <a:prstGeom prst="rect">
                              <a:avLst/>
                            </a:prstGeom>
                            <a:solidFill>
                              <a:srgbClr val="99CCFF"/>
                            </a:solidFill>
                            <a:ln w="9525" cap="flat" cmpd="sng">
                              <a:solidFill>
                                <a:srgbClr val="000000"/>
                              </a:solidFill>
                              <a:prstDash val="solid"/>
                              <a:miter/>
                              <a:headEnd type="none" w="med" len="med"/>
                              <a:tailEnd type="none" w="med" len="med"/>
                            </a:ln>
                          </wps:spPr>
                          <wps:txbx>
                            <w:txbxContent>
                              <w:p w14:paraId="767BCD92">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文明检查员</w:t>
                                </w:r>
                              </w:p>
                            </w:txbxContent>
                          </wps:txbx>
                          <wps:bodyPr lIns="108000" tIns="36000" rIns="108000" bIns="36000" upright="1"/>
                        </wps:wsp>
                        <wps:wsp>
                          <wps:cNvPr id="122" name="文本框 92"/>
                          <wps:cNvSpPr txBox="1"/>
                          <wps:spPr>
                            <a:xfrm>
                              <a:off x="3745" y="5958"/>
                              <a:ext cx="1807" cy="516"/>
                            </a:xfrm>
                            <a:prstGeom prst="rect">
                              <a:avLst/>
                            </a:prstGeom>
                            <a:solidFill>
                              <a:srgbClr val="99CCFF"/>
                            </a:solidFill>
                            <a:ln w="9525" cap="flat" cmpd="sng">
                              <a:solidFill>
                                <a:srgbClr val="000000"/>
                              </a:solidFill>
                              <a:prstDash val="solid"/>
                              <a:miter/>
                              <a:headEnd type="none" w="med" len="med"/>
                              <a:tailEnd type="none" w="med" len="med"/>
                            </a:ln>
                          </wps:spPr>
                          <wps:txbx>
                            <w:txbxContent>
                              <w:p w14:paraId="6891CCEC">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交通疏导小队</w:t>
                                </w:r>
                              </w:p>
                            </w:txbxContent>
                          </wps:txbx>
                          <wps:bodyPr lIns="108000" tIns="36000" rIns="108000" bIns="36000" upright="1"/>
                        </wps:wsp>
                        <wps:wsp>
                          <wps:cNvPr id="123" name="文本框 93"/>
                          <wps:cNvSpPr txBox="1"/>
                          <wps:spPr>
                            <a:xfrm>
                              <a:off x="4618" y="7346"/>
                              <a:ext cx="2611" cy="516"/>
                            </a:xfrm>
                            <a:prstGeom prst="rect">
                              <a:avLst/>
                            </a:prstGeom>
                            <a:solidFill>
                              <a:srgbClr val="99CCFF"/>
                            </a:solidFill>
                            <a:ln w="9525" cap="flat" cmpd="sng">
                              <a:solidFill>
                                <a:srgbClr val="000000"/>
                              </a:solidFill>
                              <a:prstDash val="solid"/>
                              <a:miter/>
                              <a:headEnd type="none" w="med" len="med"/>
                              <a:tailEnd type="none" w="med" len="med"/>
                            </a:ln>
                          </wps:spPr>
                          <wps:txbx>
                            <w:txbxContent>
                              <w:p w14:paraId="55A1BE54">
                                <w:pPr>
                                  <w:widowControl/>
                                  <w:kinsoku w:val="0"/>
                                  <w:autoSpaceDE w:val="0"/>
                                  <w:autoSpaceDN w:val="0"/>
                                  <w:adjustRightInd w:val="0"/>
                                  <w:snapToGrid w:val="0"/>
                                  <w:spacing w:line="240" w:lineRule="auto"/>
                                  <w:ind w:firstLine="0" w:firstLineChars="0"/>
                                  <w:jc w:val="center"/>
                                  <w:textAlignment w:val="baseline"/>
                                  <w:rPr>
                                    <w:rFonts w:hint="eastAsia" w:ascii="宋体" w:hAnsi="宋体" w:eastAsia="Arial" w:cs="Arial"/>
                                    <w:snapToGrid w:val="0"/>
                                    <w:color w:val="000000"/>
                                    <w:kern w:val="0"/>
                                    <w:sz w:val="24"/>
                                    <w:szCs w:val="21"/>
                                    <w:lang w:eastAsia="en-US"/>
                                  </w:rPr>
                                </w:pPr>
                                <w:r>
                                  <w:rPr>
                                    <w:rFonts w:hint="eastAsia" w:ascii="宋体" w:hAnsi="宋体" w:eastAsia="Arial" w:cs="Arial"/>
                                    <w:snapToGrid w:val="0"/>
                                    <w:color w:val="000000"/>
                                    <w:kern w:val="0"/>
                                    <w:sz w:val="24"/>
                                    <w:szCs w:val="21"/>
                                    <w:lang w:eastAsia="en-US"/>
                                  </w:rPr>
                                  <w:t>现 场 施 工</w:t>
                                </w:r>
                              </w:p>
                            </w:txbxContent>
                          </wps:txbx>
                          <wps:bodyPr lIns="360000" tIns="36000" rIns="360000" bIns="36000" upright="1"/>
                        </wps:wsp>
                        <wps:wsp>
                          <wps:cNvPr id="124" name="直接连接符 94"/>
                          <wps:cNvCnPr/>
                          <wps:spPr>
                            <a:xfrm flipH="1">
                              <a:off x="2130" y="6486"/>
                              <a:ext cx="6" cy="394"/>
                            </a:xfrm>
                            <a:prstGeom prst="line">
                              <a:avLst/>
                            </a:prstGeom>
                            <a:ln w="12700" cap="flat" cmpd="sng">
                              <a:solidFill>
                                <a:srgbClr val="000000"/>
                              </a:solidFill>
                              <a:prstDash val="solid"/>
                              <a:headEnd type="none" w="med" len="med"/>
                              <a:tailEnd type="none" w="sm" len="med"/>
                            </a:ln>
                          </wps:spPr>
                          <wps:bodyPr upright="1"/>
                        </wps:wsp>
                        <wps:wsp>
                          <wps:cNvPr id="130" name="直接连接符 95"/>
                          <wps:cNvCnPr/>
                          <wps:spPr>
                            <a:xfrm flipH="1">
                              <a:off x="4654" y="6474"/>
                              <a:ext cx="6" cy="394"/>
                            </a:xfrm>
                            <a:prstGeom prst="line">
                              <a:avLst/>
                            </a:prstGeom>
                            <a:ln w="12700" cap="flat" cmpd="sng">
                              <a:solidFill>
                                <a:srgbClr val="000000"/>
                              </a:solidFill>
                              <a:prstDash val="solid"/>
                              <a:headEnd type="none" w="med" len="med"/>
                              <a:tailEnd type="none" w="sm" len="med"/>
                            </a:ln>
                          </wps:spPr>
                          <wps:bodyPr upright="1"/>
                        </wps:wsp>
                        <wps:wsp>
                          <wps:cNvPr id="131" name="直接连接符 96"/>
                          <wps:cNvCnPr/>
                          <wps:spPr>
                            <a:xfrm flipH="1">
                              <a:off x="7358" y="6474"/>
                              <a:ext cx="6" cy="394"/>
                            </a:xfrm>
                            <a:prstGeom prst="line">
                              <a:avLst/>
                            </a:prstGeom>
                            <a:ln w="12700" cap="flat" cmpd="sng">
                              <a:solidFill>
                                <a:srgbClr val="000000"/>
                              </a:solidFill>
                              <a:prstDash val="solid"/>
                              <a:headEnd type="none" w="med" len="med"/>
                              <a:tailEnd type="none" w="sm" len="med"/>
                            </a:ln>
                          </wps:spPr>
                          <wps:bodyPr upright="1"/>
                        </wps:wsp>
                        <wps:wsp>
                          <wps:cNvPr id="134" name="直接连接符 97"/>
                          <wps:cNvCnPr/>
                          <wps:spPr>
                            <a:xfrm flipH="1">
                              <a:off x="9870" y="6474"/>
                              <a:ext cx="6" cy="394"/>
                            </a:xfrm>
                            <a:prstGeom prst="line">
                              <a:avLst/>
                            </a:prstGeom>
                            <a:ln w="12700" cap="flat" cmpd="sng">
                              <a:solidFill>
                                <a:srgbClr val="000000"/>
                              </a:solidFill>
                              <a:prstDash val="solid"/>
                              <a:headEnd type="none" w="med" len="med"/>
                              <a:tailEnd type="none" w="sm" len="med"/>
                            </a:ln>
                          </wps:spPr>
                          <wps:bodyPr upright="1"/>
                        </wps:wsp>
                        <wps:wsp>
                          <wps:cNvPr id="137" name="文本框 98"/>
                          <wps:cNvSpPr txBox="1"/>
                          <wps:spPr>
                            <a:xfrm>
                              <a:off x="1252" y="4980"/>
                              <a:ext cx="1808" cy="516"/>
                            </a:xfrm>
                            <a:prstGeom prst="rect">
                              <a:avLst/>
                            </a:prstGeom>
                            <a:solidFill>
                              <a:srgbClr val="99CCFF"/>
                            </a:solidFill>
                            <a:ln w="9525" cap="flat" cmpd="sng">
                              <a:solidFill>
                                <a:srgbClr val="000000"/>
                              </a:solidFill>
                              <a:prstDash val="solid"/>
                              <a:miter/>
                              <a:headEnd type="none" w="med" len="med"/>
                              <a:tailEnd type="none" w="med" len="med"/>
                            </a:ln>
                          </wps:spPr>
                          <wps:txbx>
                            <w:txbxContent>
                              <w:p w14:paraId="1300CD87">
                                <w:pPr>
                                  <w:widowControl/>
                                  <w:kinsoku w:val="0"/>
                                  <w:autoSpaceDE w:val="0"/>
                                  <w:autoSpaceDN w:val="0"/>
                                  <w:adjustRightInd w:val="0"/>
                                  <w:snapToGrid w:val="0"/>
                                  <w:spacing w:line="240" w:lineRule="auto"/>
                                  <w:ind w:firstLine="0" w:firstLineChars="0"/>
                                  <w:jc w:val="left"/>
                                  <w:textAlignment w:val="baseline"/>
                                  <w:rPr>
                                    <w:rFonts w:hint="eastAsia" w:ascii="宋体" w:hAnsi="宋体" w:eastAsia="Arial" w:cs="Arial"/>
                                    <w:snapToGrid w:val="0"/>
                                    <w:color w:val="000000"/>
                                    <w:kern w:val="0"/>
                                    <w:sz w:val="24"/>
                                    <w:szCs w:val="21"/>
                                    <w:lang w:eastAsia="en-US"/>
                                  </w:rPr>
                                </w:pPr>
                                <w:r>
                                  <w:rPr>
                                    <w:rFonts w:hint="eastAsia" w:ascii="宋体" w:hAnsi="宋体" w:eastAsia="Arial" w:cs="Arial"/>
                                    <w:snapToGrid w:val="0"/>
                                    <w:color w:val="000000"/>
                                    <w:kern w:val="0"/>
                                    <w:sz w:val="24"/>
                                    <w:szCs w:val="21"/>
                                    <w:lang w:eastAsia="en-US"/>
                                  </w:rPr>
                                  <w:t>环保检查员</w:t>
                                </w:r>
                              </w:p>
                            </w:txbxContent>
                          </wps:txbx>
                          <wps:bodyPr lIns="108000" tIns="36000" rIns="108000" bIns="36000" upright="1"/>
                        </wps:wsp>
                        <wps:wsp>
                          <wps:cNvPr id="139" name="文本框 99"/>
                          <wps:cNvSpPr txBox="1"/>
                          <wps:spPr>
                            <a:xfrm>
                              <a:off x="3774" y="4978"/>
                              <a:ext cx="1807" cy="516"/>
                            </a:xfrm>
                            <a:prstGeom prst="rect">
                              <a:avLst/>
                            </a:prstGeom>
                            <a:solidFill>
                              <a:srgbClr val="99CCFF"/>
                            </a:solidFill>
                            <a:ln w="9525" cap="flat" cmpd="sng">
                              <a:solidFill>
                                <a:srgbClr val="000000"/>
                              </a:solidFill>
                              <a:prstDash val="solid"/>
                              <a:miter/>
                              <a:headEnd type="none" w="med" len="med"/>
                              <a:tailEnd type="none" w="med" len="med"/>
                            </a:ln>
                          </wps:spPr>
                          <wps:txbx>
                            <w:txbxContent>
                              <w:p w14:paraId="7E0737F1">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交通检查员</w:t>
                                </w:r>
                              </w:p>
                            </w:txbxContent>
                          </wps:txbx>
                          <wps:bodyPr lIns="108000" tIns="36000" rIns="108000" bIns="36000" upright="1"/>
                        </wps:wsp>
                        <wps:wsp>
                          <wps:cNvPr id="140" name="文本框 100"/>
                          <wps:cNvSpPr txBox="1"/>
                          <wps:spPr>
                            <a:xfrm>
                              <a:off x="6476" y="4981"/>
                              <a:ext cx="1807" cy="516"/>
                            </a:xfrm>
                            <a:prstGeom prst="rect">
                              <a:avLst/>
                            </a:prstGeom>
                            <a:solidFill>
                              <a:srgbClr val="99CCFF"/>
                            </a:solidFill>
                            <a:ln w="9525" cap="flat" cmpd="sng">
                              <a:solidFill>
                                <a:srgbClr val="000000"/>
                              </a:solidFill>
                              <a:prstDash val="solid"/>
                              <a:miter/>
                              <a:headEnd type="none" w="med" len="med"/>
                              <a:tailEnd type="none" w="med" len="med"/>
                            </a:ln>
                          </wps:spPr>
                          <wps:txbx>
                            <w:txbxContent>
                              <w:p w14:paraId="501FDA65">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文明施工员</w:t>
                                </w:r>
                              </w:p>
                            </w:txbxContent>
                          </wps:txbx>
                          <wps:bodyPr lIns="108000" tIns="36000" rIns="108000" bIns="36000" upright="1"/>
                        </wps:wsp>
                        <wps:wsp>
                          <wps:cNvPr id="141" name="文本框 101"/>
                          <wps:cNvSpPr txBox="1"/>
                          <wps:spPr>
                            <a:xfrm>
                              <a:off x="8986" y="4981"/>
                              <a:ext cx="1808" cy="516"/>
                            </a:xfrm>
                            <a:prstGeom prst="rect">
                              <a:avLst/>
                            </a:prstGeom>
                            <a:solidFill>
                              <a:srgbClr val="99CCFF"/>
                            </a:solidFill>
                            <a:ln w="9525" cap="flat" cmpd="sng">
                              <a:solidFill>
                                <a:srgbClr val="000000"/>
                              </a:solidFill>
                              <a:prstDash val="solid"/>
                              <a:miter/>
                              <a:headEnd type="none" w="med" len="med"/>
                              <a:tailEnd type="none" w="med" len="med"/>
                            </a:ln>
                          </wps:spPr>
                          <wps:txbx>
                            <w:txbxContent>
                              <w:p w14:paraId="2B43371C">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施工安全员</w:t>
                                </w:r>
                              </w:p>
                            </w:txbxContent>
                          </wps:txbx>
                          <wps:bodyPr lIns="108000" tIns="36000" rIns="108000" bIns="36000" upright="1"/>
                        </wps:wsp>
                        <wps:wsp>
                          <wps:cNvPr id="142" name="直接连接符 102"/>
                          <wps:cNvCnPr/>
                          <wps:spPr>
                            <a:xfrm>
                              <a:off x="2136" y="4512"/>
                              <a:ext cx="0" cy="468"/>
                            </a:xfrm>
                            <a:prstGeom prst="line">
                              <a:avLst/>
                            </a:prstGeom>
                            <a:ln w="9525" cap="flat" cmpd="sng">
                              <a:solidFill>
                                <a:srgbClr val="000000"/>
                              </a:solidFill>
                              <a:prstDash val="solid"/>
                              <a:headEnd type="none" w="med" len="med"/>
                              <a:tailEnd type="triangle" w="med" len="med"/>
                            </a:ln>
                          </wps:spPr>
                          <wps:bodyPr upright="1"/>
                        </wps:wsp>
                        <wps:wsp>
                          <wps:cNvPr id="147" name="直接连接符 103"/>
                          <wps:cNvCnPr/>
                          <wps:spPr>
                            <a:xfrm>
                              <a:off x="4657" y="4513"/>
                              <a:ext cx="0" cy="468"/>
                            </a:xfrm>
                            <a:prstGeom prst="line">
                              <a:avLst/>
                            </a:prstGeom>
                            <a:ln w="9525" cap="flat" cmpd="sng">
                              <a:solidFill>
                                <a:srgbClr val="000000"/>
                              </a:solidFill>
                              <a:prstDash val="solid"/>
                              <a:headEnd type="none" w="med" len="med"/>
                              <a:tailEnd type="triangle" w="med" len="med"/>
                            </a:ln>
                          </wps:spPr>
                          <wps:bodyPr upright="1"/>
                        </wps:wsp>
                        <wps:wsp>
                          <wps:cNvPr id="150" name="直接连接符 104"/>
                          <wps:cNvCnPr/>
                          <wps:spPr>
                            <a:xfrm>
                              <a:off x="7418" y="4522"/>
                              <a:ext cx="0" cy="468"/>
                            </a:xfrm>
                            <a:prstGeom prst="line">
                              <a:avLst/>
                            </a:prstGeom>
                            <a:ln w="9525" cap="flat" cmpd="sng">
                              <a:solidFill>
                                <a:srgbClr val="000000"/>
                              </a:solidFill>
                              <a:prstDash val="solid"/>
                              <a:headEnd type="none" w="med" len="med"/>
                              <a:tailEnd type="triangle" w="med" len="med"/>
                            </a:ln>
                          </wps:spPr>
                          <wps:bodyPr upright="1"/>
                        </wps:wsp>
                        <wps:wsp>
                          <wps:cNvPr id="151" name="直接连接符 105"/>
                          <wps:cNvCnPr/>
                          <wps:spPr>
                            <a:xfrm>
                              <a:off x="9878" y="4522"/>
                              <a:ext cx="0" cy="468"/>
                            </a:xfrm>
                            <a:prstGeom prst="line">
                              <a:avLst/>
                            </a:prstGeom>
                            <a:ln w="9525" cap="flat" cmpd="sng">
                              <a:solidFill>
                                <a:srgbClr val="000000"/>
                              </a:solidFill>
                              <a:prstDash val="solid"/>
                              <a:headEnd type="none" w="med" len="med"/>
                              <a:tailEnd type="triangle" w="med" len="med"/>
                            </a:ln>
                          </wps:spPr>
                          <wps:bodyPr upright="1"/>
                        </wps:wsp>
                        <wps:wsp>
                          <wps:cNvPr id="152" name="直接连接符 106"/>
                          <wps:cNvCnPr/>
                          <wps:spPr>
                            <a:xfrm>
                              <a:off x="2138" y="4512"/>
                              <a:ext cx="7740" cy="0"/>
                            </a:xfrm>
                            <a:prstGeom prst="line">
                              <a:avLst/>
                            </a:prstGeom>
                            <a:ln w="9525" cap="flat" cmpd="sng">
                              <a:solidFill>
                                <a:srgbClr val="000000"/>
                              </a:solidFill>
                              <a:prstDash val="solid"/>
                              <a:headEnd type="none" w="med" len="med"/>
                              <a:tailEnd type="none" w="med" len="med"/>
                            </a:ln>
                          </wps:spPr>
                          <wps:bodyPr upright="1"/>
                        </wps:wsp>
                        <wps:wsp>
                          <wps:cNvPr id="156" name="直接连接符 107"/>
                          <wps:cNvCnPr/>
                          <wps:spPr>
                            <a:xfrm>
                              <a:off x="2138" y="5496"/>
                              <a:ext cx="0" cy="468"/>
                            </a:xfrm>
                            <a:prstGeom prst="line">
                              <a:avLst/>
                            </a:prstGeom>
                            <a:ln w="9525" cap="flat" cmpd="sng">
                              <a:solidFill>
                                <a:srgbClr val="000000"/>
                              </a:solidFill>
                              <a:prstDash val="solid"/>
                              <a:headEnd type="none" w="med" len="med"/>
                              <a:tailEnd type="triangle" w="med" len="med"/>
                            </a:ln>
                          </wps:spPr>
                          <wps:bodyPr upright="1"/>
                        </wps:wsp>
                        <wps:wsp>
                          <wps:cNvPr id="159" name="直接连接符 108"/>
                          <wps:cNvCnPr/>
                          <wps:spPr>
                            <a:xfrm>
                              <a:off x="4658" y="5496"/>
                              <a:ext cx="0" cy="468"/>
                            </a:xfrm>
                            <a:prstGeom prst="line">
                              <a:avLst/>
                            </a:prstGeom>
                            <a:ln w="9525" cap="flat" cmpd="sng">
                              <a:solidFill>
                                <a:srgbClr val="000000"/>
                              </a:solidFill>
                              <a:prstDash val="solid"/>
                              <a:headEnd type="none" w="med" len="med"/>
                              <a:tailEnd type="triangle" w="med" len="med"/>
                            </a:ln>
                          </wps:spPr>
                          <wps:bodyPr upright="1"/>
                        </wps:wsp>
                        <wps:wsp>
                          <wps:cNvPr id="160" name="直接连接符 109"/>
                          <wps:cNvCnPr/>
                          <wps:spPr>
                            <a:xfrm>
                              <a:off x="7406" y="5496"/>
                              <a:ext cx="0" cy="468"/>
                            </a:xfrm>
                            <a:prstGeom prst="line">
                              <a:avLst/>
                            </a:prstGeom>
                            <a:ln w="9525" cap="flat" cmpd="sng">
                              <a:solidFill>
                                <a:srgbClr val="000000"/>
                              </a:solidFill>
                              <a:prstDash val="solid"/>
                              <a:headEnd type="none" w="med" len="med"/>
                              <a:tailEnd type="triangle" w="med" len="med"/>
                            </a:ln>
                          </wps:spPr>
                          <wps:bodyPr upright="1"/>
                        </wps:wsp>
                        <wps:wsp>
                          <wps:cNvPr id="179" name="直接连接符 110"/>
                          <wps:cNvCnPr/>
                          <wps:spPr>
                            <a:xfrm>
                              <a:off x="9878" y="5496"/>
                              <a:ext cx="0" cy="468"/>
                            </a:xfrm>
                            <a:prstGeom prst="line">
                              <a:avLst/>
                            </a:prstGeom>
                            <a:ln w="9525" cap="flat" cmpd="sng">
                              <a:solidFill>
                                <a:srgbClr val="000000"/>
                              </a:solidFill>
                              <a:prstDash val="solid"/>
                              <a:headEnd type="none" w="med" len="med"/>
                              <a:tailEnd type="triangle" w="med" len="med"/>
                            </a:ln>
                          </wps:spPr>
                          <wps:bodyPr upright="1"/>
                        </wps:wsp>
                        <wps:wsp>
                          <wps:cNvPr id="204" name="直接连接符 111"/>
                          <wps:cNvCnPr/>
                          <wps:spPr>
                            <a:xfrm>
                              <a:off x="5918" y="6876"/>
                              <a:ext cx="0" cy="468"/>
                            </a:xfrm>
                            <a:prstGeom prst="line">
                              <a:avLst/>
                            </a:prstGeom>
                            <a:ln w="9525" cap="flat" cmpd="sng">
                              <a:solidFill>
                                <a:srgbClr val="000000"/>
                              </a:solidFill>
                              <a:prstDash val="solid"/>
                              <a:headEnd type="none" w="med" len="med"/>
                              <a:tailEnd type="triangle" w="med" len="med"/>
                            </a:ln>
                          </wps:spPr>
                          <wps:bodyPr upright="1"/>
                        </wps:wsp>
                        <wps:wsp>
                          <wps:cNvPr id="205" name="直接连接符 112"/>
                          <wps:cNvCnPr/>
                          <wps:spPr>
                            <a:xfrm>
                              <a:off x="2130" y="6876"/>
                              <a:ext cx="7740" cy="0"/>
                            </a:xfrm>
                            <a:prstGeom prst="line">
                              <a:avLst/>
                            </a:prstGeom>
                            <a:ln w="9525" cap="flat" cmpd="sng">
                              <a:solidFill>
                                <a:srgbClr val="000000"/>
                              </a:solidFill>
                              <a:prstDash val="solid"/>
                              <a:headEnd type="none" w="med" len="med"/>
                              <a:tailEnd type="none" w="med" len="med"/>
                            </a:ln>
                          </wps:spPr>
                          <wps:bodyPr upright="1"/>
                        </wps:wsp>
                      </wpg:grpSp>
                    </wpg:wgp>
                  </a:graphicData>
                </a:graphic>
              </wp:inline>
            </w:drawing>
          </mc:Choice>
          <mc:Fallback>
            <w:pict>
              <v:group id="_x0000_s1026" o:spid="_x0000_s1026" o:spt="203" style="height:418.75pt;width:433.75pt;" coordorigin="1238,2038" coordsize="9556,5824" o:gfxdata="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">
                <o:lock v:ext="edit" aspectratio="f"/>
                <v:line id="直接连接符 80" o:spid="_x0000_s1026" o:spt="20" style="position:absolute;left:3398;top:3036;height:0;width:4860;" filled="f" stroked="t" coordsize="21600,21600" o:gfxdata="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kYI57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id="组合 113" o:spid="_x0000_s1026" o:spt="203" style="position:absolute;left:1238;top:2038;height:5824;width:9556;" coordorigin="1238,2038" coordsize="9556,5824" o:gfxdata="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W/Q36+AAAA2gAAAA8AAAAAAAAAAQAgAAAAIgAAAGRycy9kb3ducmV2Lnht&#10;bFBLAQIUABQAAAAIAIdO4kAzLwWeOwAAADkAAAAVAAAAAAAAAAEAIAAAAA0BAABkcnMvZ3JvdXBz&#10;aGFwZXhtbC54bWxQSwUGAAAAAAYABgBgAQAAygMAAAAA&#10;">
                  <o:lock v:ext="edit" aspectratio="f"/>
                  <v:shape id="文本框 81" o:spid="_x0000_s1026" o:spt="202" type="#_x0000_t202" style="position:absolute;left:4477;top:2038;height:516;width:2686;" fillcolor="#99CCFF" filled="t" stroked="t" coordsize="21600,21600" o:gfxdata="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OXTm5AAAA2w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inset="6mm,1mm,6mm,1mm">
                      <w:txbxContent>
                        <w:p w14:paraId="10F9366C">
                          <w:pPr>
                            <w:widowControl/>
                            <w:kinsoku w:val="0"/>
                            <w:autoSpaceDE w:val="0"/>
                            <w:autoSpaceDN w:val="0"/>
                            <w:adjustRightInd w:val="0"/>
                            <w:snapToGrid w:val="0"/>
                            <w:spacing w:line="240" w:lineRule="auto"/>
                            <w:ind w:firstLine="0" w:firstLineChars="0"/>
                            <w:jc w:val="left"/>
                            <w:textAlignment w:val="baseline"/>
                            <w:rPr>
                              <w:rFonts w:hint="eastAsia" w:ascii="宋体" w:hAnsi="宋体" w:eastAsia="Arial" w:cs="Arial"/>
                              <w:snapToGrid w:val="0"/>
                              <w:color w:val="000000"/>
                              <w:kern w:val="0"/>
                              <w:sz w:val="24"/>
                              <w:szCs w:val="21"/>
                              <w:lang w:eastAsia="en-US"/>
                            </w:rPr>
                          </w:pPr>
                          <w:r>
                            <w:rPr>
                              <w:rFonts w:hint="eastAsia" w:ascii="宋体" w:hAnsi="宋体" w:eastAsia="Arial" w:cs="Arial"/>
                              <w:snapToGrid w:val="0"/>
                              <w:color w:val="000000"/>
                              <w:kern w:val="0"/>
                              <w:sz w:val="24"/>
                              <w:szCs w:val="21"/>
                              <w:lang w:eastAsia="en-US"/>
                            </w:rPr>
                            <w:t>项目经理(组长)</w:t>
                          </w:r>
                        </w:p>
                      </w:txbxContent>
                    </v:textbox>
                  </v:shape>
                  <v:shape id="文本框 82" o:spid="_x0000_s1026" o:spt="202" type="#_x0000_t202" style="position:absolute;left:1998;top:3516;height:516;width:2812;" fillcolor="#99CCFF" filled="t" stroked="t" coordsize="21600,21600" o:gfxdata="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6kPd7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3mm,1mm,3mm,1mm">
                      <w:txbxContent>
                        <w:p w14:paraId="01A4B65D">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项目副经理(副组长)</w:t>
                          </w:r>
                        </w:p>
                      </w:txbxContent>
                    </v:textbox>
                  </v:shape>
                  <v:shape id="文本框 83" o:spid="_x0000_s1026" o:spt="202" type="#_x0000_t202" style="position:absolute;left:6860;top:3514;height:516;width:2812;" fillcolor="#99CCFF" filled="t" stroked="t" coordsize="21600,21600" o:gfxdata="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rSjA3twAAANsAAAAP&#10;AAAAAAAAAAEAIAAAACIAAABkcnMvZG93bnJldi54bWxQSwECFAAUAAAACACHTuJAMy8FnjsAAAA5&#10;AAAAEAAAAAAAAAABACAAAAAGAQAAZHJzL3NoYXBleG1sLnhtbFBLBQYAAAAABgAGAFsBAACwAwAA&#10;AAA=&#10;">
                    <v:fill on="t" focussize="0,0"/>
                    <v:stroke color="#000000" joinstyle="miter"/>
                    <v:imagedata o:title=""/>
                    <o:lock v:ext="edit" aspectratio="f"/>
                    <v:textbox inset="3mm,1mm,3mm,1mm">
                      <w:txbxContent>
                        <w:p w14:paraId="1AD4189E">
                          <w:pPr>
                            <w:widowControl/>
                            <w:kinsoku w:val="0"/>
                            <w:autoSpaceDE w:val="0"/>
                            <w:autoSpaceDN w:val="0"/>
                            <w:adjustRightInd w:val="0"/>
                            <w:snapToGrid w:val="0"/>
                            <w:spacing w:line="240" w:lineRule="auto"/>
                            <w:ind w:firstLine="0" w:firstLineChars="0"/>
                            <w:jc w:val="center"/>
                            <w:textAlignment w:val="baseline"/>
                            <w:rPr>
                              <w:rFonts w:hint="eastAsia" w:ascii="宋体" w:hAnsi="宋体" w:eastAsia="Arial" w:cs="Arial"/>
                              <w:snapToGrid w:val="0"/>
                              <w:color w:val="000000"/>
                              <w:kern w:val="0"/>
                              <w:sz w:val="24"/>
                              <w:szCs w:val="21"/>
                              <w:lang w:eastAsia="en-US"/>
                            </w:rPr>
                          </w:pPr>
                          <w:r>
                            <w:rPr>
                              <w:rFonts w:hint="eastAsia" w:ascii="宋体" w:hAnsi="宋体" w:eastAsia="Arial" w:cs="Arial"/>
                              <w:snapToGrid w:val="0"/>
                              <w:color w:val="000000"/>
                              <w:kern w:val="0"/>
                              <w:sz w:val="24"/>
                              <w:szCs w:val="21"/>
                              <w:lang w:eastAsia="en-US"/>
                            </w:rPr>
                            <w:t>技术负责人(副组长)</w:t>
                          </w:r>
                        </w:p>
                      </w:txbxContent>
                    </v:textbox>
                  </v:shape>
                  <v:line id="直接连接符 84" o:spid="_x0000_s1026" o:spt="20" style="position:absolute;left:5918;top:2568;height:468;width:0;" filled="f" stroked="t" coordsize="21600,21600" o:gfxdata="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Wmq/&#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85" o:spid="_x0000_s1026" o:spt="20" style="position:absolute;left:3398;top:3044;height:468;width:0;" filled="f" stroked="t" coordsize="21600,21600" o:gfxdata="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vkxB2/&#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86" o:spid="_x0000_s1026" o:spt="20" style="position:absolute;left:8258;top:3044;height:468;width:0;" filled="f" stroked="t" coordsize="21600,21600" o:gfxdata="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PBVYS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直接连接符 87" o:spid="_x0000_s1026" o:spt="20" style="position:absolute;left:3398;top:4040;height:468;width:0;" filled="f" stroked="t" coordsize="21600,21600" o:gfxdata="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jfAf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88" o:spid="_x0000_s1026" o:spt="20" style="position:absolute;left:8258;top:4040;height:468;width:0;" filled="f" stroked="t" coordsize="21600,21600" o:gfxdata="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EmRt&#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shape id="文本框 89" o:spid="_x0000_s1026" o:spt="202" type="#_x0000_t202" style="position:absolute;left:1238;top:5959;height:516;width:1808;" fillcolor="#99CCFF" filled="t" stroked="t" coordsize="21600,21600" o:gfxdata="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y9usL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3mm,1mm,3mm,1mm">
                      <w:txbxContent>
                        <w:p w14:paraId="222F8935">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卫生清扫小队</w:t>
                          </w:r>
                        </w:p>
                      </w:txbxContent>
                    </v:textbox>
                  </v:shape>
                  <v:shape id="文本框 90" o:spid="_x0000_s1026" o:spt="202" type="#_x0000_t202" style="position:absolute;left:8966;top:5958;height:516;width:1808;" fillcolor="#99CCFF" filled="t" stroked="t" coordsize="21600,21600" o:gfxdata="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eQ2Q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3mm,1mm,3mm,1mm">
                      <w:txbxContent>
                        <w:p w14:paraId="502B9C46">
                          <w:pPr>
                            <w:widowControl/>
                            <w:kinsoku w:val="0"/>
                            <w:autoSpaceDE w:val="0"/>
                            <w:autoSpaceDN w:val="0"/>
                            <w:adjustRightInd w:val="0"/>
                            <w:snapToGrid w:val="0"/>
                            <w:spacing w:line="240" w:lineRule="auto"/>
                            <w:ind w:firstLine="0" w:firstLineChars="0"/>
                            <w:jc w:val="left"/>
                            <w:textAlignment w:val="baseline"/>
                            <w:rPr>
                              <w:rFonts w:hint="eastAsia" w:ascii="宋体" w:hAnsi="宋体" w:eastAsia="Arial" w:cs="Arial"/>
                              <w:snapToGrid w:val="0"/>
                              <w:color w:val="000000"/>
                              <w:kern w:val="0"/>
                              <w:sz w:val="24"/>
                              <w:szCs w:val="21"/>
                              <w:lang w:eastAsia="en-US"/>
                            </w:rPr>
                          </w:pPr>
                          <w:r>
                            <w:rPr>
                              <w:rFonts w:hint="eastAsia" w:ascii="宋体" w:hAnsi="宋体" w:eastAsia="Arial" w:cs="Arial"/>
                              <w:snapToGrid w:val="0"/>
                              <w:color w:val="000000"/>
                              <w:kern w:val="0"/>
                              <w:sz w:val="24"/>
                              <w:szCs w:val="21"/>
                              <w:lang w:eastAsia="en-US"/>
                            </w:rPr>
                            <w:t>文明检查员</w:t>
                          </w:r>
                        </w:p>
                      </w:txbxContent>
                    </v:textbox>
                  </v:shape>
                  <v:shape id="文本框 91" o:spid="_x0000_s1026" o:spt="202" type="#_x0000_t202" style="position:absolute;left:6456;top:5958;height:516;width:1807;" fillcolor="#99CCFF" filled="t" stroked="t" coordsize="21600,21600" o:gfxdata="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s1qAu5AAAA3A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inset="3mm,1mm,3mm,1mm">
                      <w:txbxContent>
                        <w:p w14:paraId="767BCD92">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文明检查员</w:t>
                          </w:r>
                        </w:p>
                      </w:txbxContent>
                    </v:textbox>
                  </v:shape>
                  <v:shape id="文本框 92" o:spid="_x0000_s1026" o:spt="202" type="#_x0000_t202" style="position:absolute;left:3745;top:5958;height:516;width:1807;" fillcolor="#99CCFF" filled="t" stroked="t" coordsize="21600,21600" o:gfxdata="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c2fLgAAADcAAAA&#10;DwAAAAAAAAABACAAAAAiAAAAZHJzL2Rvd25yZXYueG1sUEsBAhQAFAAAAAgAh07iQDMvBZ47AAAA&#10;OQAAABAAAAAAAAAAAQAgAAAABwEAAGRycy9zaGFwZXhtbC54bWxQSwUGAAAAAAYABgBbAQAAsQMA&#10;AAAA&#10;">
                    <v:fill on="t" focussize="0,0"/>
                    <v:stroke color="#000000" joinstyle="miter"/>
                    <v:imagedata o:title=""/>
                    <o:lock v:ext="edit" aspectratio="f"/>
                    <v:textbox inset="3mm,1mm,3mm,1mm">
                      <w:txbxContent>
                        <w:p w14:paraId="6891CCEC">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交通疏导小队</w:t>
                          </w:r>
                        </w:p>
                      </w:txbxContent>
                    </v:textbox>
                  </v:shape>
                  <v:shape id="文本框 93" o:spid="_x0000_s1026" o:spt="202" type="#_x0000_t202" style="position:absolute;left:4618;top:7346;height:516;width:2611;" fillcolor="#99CCFF" filled="t" stroked="t" coordsize="21600,21600" o:gfxdata="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JkDSq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10mm,1mm,10mm,1mm">
                      <w:txbxContent>
                        <w:p w14:paraId="55A1BE54">
                          <w:pPr>
                            <w:widowControl/>
                            <w:kinsoku w:val="0"/>
                            <w:autoSpaceDE w:val="0"/>
                            <w:autoSpaceDN w:val="0"/>
                            <w:adjustRightInd w:val="0"/>
                            <w:snapToGrid w:val="0"/>
                            <w:spacing w:line="240" w:lineRule="auto"/>
                            <w:ind w:firstLine="0" w:firstLineChars="0"/>
                            <w:jc w:val="center"/>
                            <w:textAlignment w:val="baseline"/>
                            <w:rPr>
                              <w:rFonts w:hint="eastAsia" w:ascii="宋体" w:hAnsi="宋体" w:eastAsia="Arial" w:cs="Arial"/>
                              <w:snapToGrid w:val="0"/>
                              <w:color w:val="000000"/>
                              <w:kern w:val="0"/>
                              <w:sz w:val="24"/>
                              <w:szCs w:val="21"/>
                              <w:lang w:eastAsia="en-US"/>
                            </w:rPr>
                          </w:pPr>
                          <w:r>
                            <w:rPr>
                              <w:rFonts w:hint="eastAsia" w:ascii="宋体" w:hAnsi="宋体" w:eastAsia="Arial" w:cs="Arial"/>
                              <w:snapToGrid w:val="0"/>
                              <w:color w:val="000000"/>
                              <w:kern w:val="0"/>
                              <w:sz w:val="24"/>
                              <w:szCs w:val="21"/>
                              <w:lang w:eastAsia="en-US"/>
                            </w:rPr>
                            <w:t>现 场 施 工</w:t>
                          </w:r>
                        </w:p>
                      </w:txbxContent>
                    </v:textbox>
                  </v:shape>
                  <v:line id="直接连接符 94" o:spid="_x0000_s1026" o:spt="20" style="position:absolute;left:2130;top:6486;flip:x;height:394;width:6;" filled="f" stroked="t" coordsize="21600,21600" o:gfxdata="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25ELvQAA&#10;ANwAAAAPAAAAAAAAAAEAIAAAACIAAABkcnMvZG93bnJldi54bWxQSwECFAAUAAAACACHTuJAMy8F&#10;njsAAAA5AAAAEAAAAAAAAAABACAAAAAMAQAAZHJzL3NoYXBleG1sLnhtbFBLBQYAAAAABgAGAFsB&#10;AAC2AwAAAAA=&#10;">
                    <v:fill on="f" focussize="0,0"/>
                    <v:stroke weight="1pt" color="#000000" joinstyle="round" endarrowwidth="narrow"/>
                    <v:imagedata o:title=""/>
                    <o:lock v:ext="edit" aspectratio="f"/>
                  </v:line>
                  <v:line id="直接连接符 95" o:spid="_x0000_s1026" o:spt="20" style="position:absolute;left:4654;top:6474;flip:x;height:394;width:6;" filled="f" stroked="t" coordsize="21600,21600" o:gfxdata="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DkB1b4A&#10;AADcAAAADwAAAAAAAAABACAAAAAiAAAAZHJzL2Rvd25yZXYueG1sUEsBAhQAFAAAAAgAh07iQDMv&#10;BZ47AAAAOQAAABAAAAAAAAAAAQAgAAAADQEAAGRycy9zaGFwZXhtbC54bWxQSwUGAAAAAAYABgBb&#10;AQAAtwMAAAAA&#10;">
                    <v:fill on="f" focussize="0,0"/>
                    <v:stroke weight="1pt" color="#000000" joinstyle="round" endarrowwidth="narrow"/>
                    <v:imagedata o:title=""/>
                    <o:lock v:ext="edit" aspectratio="f"/>
                  </v:line>
                  <v:line id="直接连接符 96" o:spid="_x0000_s1026" o:spt="20" style="position:absolute;left:7358;top:6474;flip:x;height:394;width:6;" filled="f" stroked="t" coordsize="21600,21600" o:gfxdata="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d1pE68AAAA&#10;3AAAAA8AAAAAAAAAAQAgAAAAIgAAAGRycy9kb3ducmV2LnhtbFBLAQIUABQAAAAIAIdO4kAzLwWe&#10;OwAAADkAAAAQAAAAAAAAAAEAIAAAAAsBAABkcnMvc2hhcGV4bWwueG1sUEsFBgAAAAAGAAYAWwEA&#10;ALUDAAAAAA==&#10;">
                    <v:fill on="f" focussize="0,0"/>
                    <v:stroke weight="1pt" color="#000000" joinstyle="round" endarrowwidth="narrow"/>
                    <v:imagedata o:title=""/>
                    <o:lock v:ext="edit" aspectratio="f"/>
                  </v:line>
                  <v:line id="直接连接符 97" o:spid="_x0000_s1026" o:spt="20" style="position:absolute;left:9870;top:6474;flip:x;height:394;width:6;" filled="f" stroked="t" coordsize="21600,21600" o:gfxdata="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wIH1rsAAADc&#10;AAAADwAAAAAAAAABACAAAAAiAAAAZHJzL2Rvd25yZXYueG1sUEsBAhQAFAAAAAgAh07iQDMvBZ47&#10;AAAAOQAAABAAAAAAAAAAAQAgAAAACgEAAGRycy9zaGFwZXhtbC54bWxQSwUGAAAAAAYABgBbAQAA&#10;tAMAAAAA&#10;">
                    <v:fill on="f" focussize="0,0"/>
                    <v:stroke weight="1pt" color="#000000" joinstyle="round" endarrowwidth="narrow"/>
                    <v:imagedata o:title=""/>
                    <o:lock v:ext="edit" aspectratio="f"/>
                  </v:line>
                  <v:shape id="文本框 98" o:spid="_x0000_s1026" o:spt="202" type="#_x0000_t202" style="position:absolute;left:1252;top:4980;height:516;width:1808;" fillcolor="#99CCFF" filled="t" stroked="t" coordsize="21600,21600" o:gfxdata="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kkDO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3mm,1mm,3mm,1mm">
                      <w:txbxContent>
                        <w:p w14:paraId="1300CD87">
                          <w:pPr>
                            <w:widowControl/>
                            <w:kinsoku w:val="0"/>
                            <w:autoSpaceDE w:val="0"/>
                            <w:autoSpaceDN w:val="0"/>
                            <w:adjustRightInd w:val="0"/>
                            <w:snapToGrid w:val="0"/>
                            <w:spacing w:line="240" w:lineRule="auto"/>
                            <w:ind w:firstLine="0" w:firstLineChars="0"/>
                            <w:jc w:val="left"/>
                            <w:textAlignment w:val="baseline"/>
                            <w:rPr>
                              <w:rFonts w:hint="eastAsia" w:ascii="宋体" w:hAnsi="宋体" w:eastAsia="Arial" w:cs="Arial"/>
                              <w:snapToGrid w:val="0"/>
                              <w:color w:val="000000"/>
                              <w:kern w:val="0"/>
                              <w:sz w:val="24"/>
                              <w:szCs w:val="21"/>
                              <w:lang w:eastAsia="en-US"/>
                            </w:rPr>
                          </w:pPr>
                          <w:r>
                            <w:rPr>
                              <w:rFonts w:hint="eastAsia" w:ascii="宋体" w:hAnsi="宋体" w:eastAsia="Arial" w:cs="Arial"/>
                              <w:snapToGrid w:val="0"/>
                              <w:color w:val="000000"/>
                              <w:kern w:val="0"/>
                              <w:sz w:val="24"/>
                              <w:szCs w:val="21"/>
                              <w:lang w:eastAsia="en-US"/>
                            </w:rPr>
                            <w:t>环保检查员</w:t>
                          </w:r>
                        </w:p>
                      </w:txbxContent>
                    </v:textbox>
                  </v:shape>
                  <v:shape id="文本框 99" o:spid="_x0000_s1026" o:spt="202" type="#_x0000_t202" style="position:absolute;left:3774;top:4978;height:516;width:1807;" fillcolor="#99CCFF" filled="t" stroked="t" coordsize="21600,21600" o:gfxdata="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CaMtC5AAAA3A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inset="3mm,1mm,3mm,1mm">
                      <w:txbxContent>
                        <w:p w14:paraId="7E0737F1">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交通检查员</w:t>
                          </w:r>
                        </w:p>
                      </w:txbxContent>
                    </v:textbox>
                  </v:shape>
                  <v:shape id="文本框 100" o:spid="_x0000_s1026" o:spt="202" type="#_x0000_t202" style="position:absolute;left:6476;top:4981;height:516;width:1807;" fillcolor="#99CCFF" filled="t" stroked="t" coordsize="21600,21600" o:gfxdata="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5pugw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3mm,1mm,3mm,1mm">
                      <w:txbxContent>
                        <w:p w14:paraId="501FDA65">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文明施工员</w:t>
                          </w:r>
                        </w:p>
                      </w:txbxContent>
                    </v:textbox>
                  </v:shape>
                  <v:shape id="文本框 101" o:spid="_x0000_s1026" o:spt="202" type="#_x0000_t202" style="position:absolute;left:8986;top:4981;height:516;width:1808;" fillcolor="#99CCFF" filled="t" stroked="t" coordsize="21600,21600" o:gfxdata="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bqTau5AAAA3A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inset="3mm,1mm,3mm,1mm">
                      <w:txbxContent>
                        <w:p w14:paraId="2B43371C">
                          <w:pPr>
                            <w:widowControl w:val="0"/>
                            <w:pBdr>
                              <w:left w:val="none" w:color="auto" w:sz="0" w:space="0"/>
                              <w:right w:val="none" w:color="auto" w:sz="0" w:space="0"/>
                            </w:pBdr>
                            <w:kinsoku w:val="0"/>
                            <w:autoSpaceDE w:val="0"/>
                            <w:autoSpaceDN w:val="0"/>
                            <w:adjustRightInd w:val="0"/>
                            <w:snapToGrid w:val="0"/>
                            <w:spacing w:before="0" w:beforeAutospacing="0" w:after="0" w:afterAutospacing="0" w:line="240" w:lineRule="auto"/>
                            <w:ind w:firstLine="0" w:firstLineChars="0"/>
                            <w:jc w:val="center"/>
                            <w:textAlignment w:val="auto"/>
                            <w:rPr>
                              <w:rFonts w:hint="eastAsia" w:ascii="宋体" w:hAnsi="宋体" w:eastAsia="宋体" w:cs="Arial"/>
                              <w:snapToGrid w:val="0"/>
                              <w:color w:val="000000"/>
                              <w:kern w:val="2"/>
                              <w:sz w:val="24"/>
                              <w:szCs w:val="21"/>
                              <w:lang w:val="en-US" w:eastAsia="en-US" w:bidi="ar-SA"/>
                            </w:rPr>
                          </w:pPr>
                          <w:r>
                            <w:rPr>
                              <w:rFonts w:hint="eastAsia" w:ascii="宋体" w:hAnsi="宋体" w:eastAsia="宋体" w:cs="Arial"/>
                              <w:snapToGrid w:val="0"/>
                              <w:color w:val="000000"/>
                              <w:kern w:val="2"/>
                              <w:sz w:val="24"/>
                              <w:szCs w:val="21"/>
                              <w:lang w:val="en-US" w:eastAsia="en-US" w:bidi="ar-SA"/>
                            </w:rPr>
                            <w:t>施工安全员</w:t>
                          </w:r>
                        </w:p>
                      </w:txbxContent>
                    </v:textbox>
                  </v:shape>
                  <v:line id="直接连接符 102" o:spid="_x0000_s1026" o:spt="20" style="position:absolute;left:2136;top:4512;height:468;width:0;" filled="f" stroked="t" coordsize="21600,21600" o:gfxdata="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0l8mr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103" o:spid="_x0000_s1026" o:spt="20" style="position:absolute;left:4657;top:4513;height:468;width:0;" filled="f" stroked="t" coordsize="21600,21600" o:gfxdata="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t8C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04" o:spid="_x0000_s1026" o:spt="20" style="position:absolute;left:7418;top:4522;height:468;width:0;" filled="f" stroked="t" coordsize="21600,21600" o:gfxdata="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1DtGr&#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105" o:spid="_x0000_s1026" o:spt="20" style="position:absolute;left:9878;top:4522;height:468;width:0;" filled="f" stroked="t" coordsize="21600,21600" o:gfxdata="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QnQw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06" o:spid="_x0000_s1026" o:spt="20" style="position:absolute;left:2138;top:4512;height:0;width:7740;" filled="f" stroked="t" coordsize="21600,21600" o:gfxdata="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NCN1r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直接连接符 107" o:spid="_x0000_s1026" o:spt="20" style="position:absolute;left:2138;top:5496;height:468;width:0;" filled="f" stroked="t" coordsize="21600,21600" o:gfxdata="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q+xE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08" o:spid="_x0000_s1026" o:spt="20" style="position:absolute;left:4658;top:5496;height:468;width:0;" filled="f" stroked="t" coordsize="21600,21600" o:gfxdata="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NHg2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09" o:spid="_x0000_s1026" o:spt="20" style="position:absolute;left:7406;top:5496;height:468;width:0;" filled="f" stroked="t" coordsize="21600,21600" o:gfxdata="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7YhsW&#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110" o:spid="_x0000_s1026" o:spt="20" style="position:absolute;left:9878;top:5496;height:468;width:0;" filled="f" stroked="t" coordsize="21600,21600" o:gfxdata="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gSRW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11" o:spid="_x0000_s1026" o:spt="20" style="position:absolute;left:5918;top:6876;height:468;width:0;" filled="f" stroked="t" coordsize="21600,21600" o:gfxdata="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Kjmcm/&#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12" o:spid="_x0000_s1026" o:spt="20" style="position:absolute;left:2130;top:6876;height:0;width:7740;" filled="f" stroked="t" coordsize="21600,21600" o:gfxdata="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r1vD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group>
                <w10:wrap type="none"/>
                <w10:anchorlock/>
              </v:group>
            </w:pict>
          </mc:Fallback>
        </mc:AlternateContent>
      </w:r>
    </w:p>
    <w:p w14:paraId="31DD13DE">
      <w:pPr>
        <w:keepNext w:val="0"/>
        <w:keepLines w:val="0"/>
        <w:pageBreakBefore w:val="0"/>
        <w:widowControl/>
        <w:kinsoku/>
        <w:wordWrap/>
        <w:overflowPunct/>
        <w:autoSpaceDE w:val="0"/>
        <w:autoSpaceDN w:val="0"/>
        <w:bidi w:val="0"/>
        <w:adjustRightInd w:val="0"/>
        <w:snapToGrid w:val="0"/>
        <w:spacing w:after="0" w:line="600" w:lineRule="auto"/>
        <w:ind w:firstLine="0" w:firstLineChars="0"/>
        <w:jc w:val="center"/>
        <w:textAlignment w:val="baseline"/>
        <w:rPr>
          <w:rFonts w:hint="eastAsia" w:ascii="仿宋" w:hAnsi="仿宋" w:eastAsia="仿宋" w:cs="仿宋"/>
          <w:b/>
          <w:snapToGrid w:val="0"/>
          <w:color w:val="auto"/>
          <w:kern w:val="2"/>
          <w:sz w:val="28"/>
          <w:szCs w:val="28"/>
          <w:lang w:val="en-US" w:eastAsia="en-US" w:bidi="ar-SA"/>
        </w:rPr>
      </w:pPr>
      <w:r>
        <w:rPr>
          <w:rFonts w:hint="eastAsia" w:ascii="仿宋" w:hAnsi="仿宋" w:eastAsia="仿宋" w:cs="仿宋"/>
          <w:b/>
          <w:snapToGrid w:val="0"/>
          <w:color w:val="auto"/>
          <w:kern w:val="2"/>
          <w:sz w:val="28"/>
          <w:szCs w:val="28"/>
          <w:lang w:val="en-US" w:eastAsia="en-US" w:bidi="ar-SA"/>
        </w:rPr>
        <w:t>文明施工保证体系</w:t>
      </w:r>
    </w:p>
    <w:p w14:paraId="7C38CB95">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bookmarkStart w:id="43" w:name="_Toc267465730"/>
      <w:bookmarkStart w:id="44" w:name="_Toc232914818"/>
      <w:bookmarkStart w:id="45" w:name="_Toc264990585"/>
      <w:bookmarkStart w:id="46" w:name="_Toc320024904"/>
      <w:bookmarkStart w:id="47" w:name="_Toc269222166"/>
      <w:bookmarkStart w:id="48" w:name="_Toc175641577"/>
      <w:bookmarkStart w:id="49" w:name="_Toc175390620"/>
      <w:bookmarkStart w:id="50" w:name="_Toc233187700"/>
      <w:r>
        <w:rPr>
          <w:rFonts w:hint="eastAsia" w:ascii="仿宋" w:hAnsi="仿宋" w:eastAsia="仿宋" w:cs="仿宋"/>
          <w:snapToGrid w:val="0"/>
          <w:color w:val="auto"/>
          <w:kern w:val="2"/>
          <w:sz w:val="28"/>
          <w:szCs w:val="28"/>
          <w:lang w:val="en-US" w:eastAsia="en-US" w:bidi="ar-SA"/>
        </w:rPr>
        <w:t>成立由项目经理任组长，各专业作业队参加的文明施工领导小组，分工明确，责任到人。</w:t>
      </w:r>
    </w:p>
    <w:bookmarkEnd w:id="43"/>
    <w:bookmarkEnd w:id="44"/>
    <w:bookmarkEnd w:id="45"/>
    <w:bookmarkEnd w:id="46"/>
    <w:bookmarkEnd w:id="47"/>
    <w:bookmarkEnd w:id="48"/>
    <w:bookmarkEnd w:id="49"/>
    <w:bookmarkEnd w:id="50"/>
    <w:p w14:paraId="7C52A3D1">
      <w:pPr>
        <w:keepNext w:val="0"/>
        <w:keepLines w:val="0"/>
        <w:pageBreakBefore w:val="0"/>
        <w:widowControl/>
        <w:kinsoku/>
        <w:wordWrap/>
        <w:overflowPunct/>
        <w:bidi w:val="0"/>
        <w:spacing w:before="0" w:beforeLines="0" w:after="0" w:afterLines="0" w:line="600" w:lineRule="auto"/>
        <w:ind w:firstLine="562" w:firstLineChars="200"/>
        <w:jc w:val="left"/>
        <w:outlineLvl w:val="2"/>
        <w:rPr>
          <w:rFonts w:hint="eastAsia" w:ascii="仿宋" w:hAnsi="仿宋" w:eastAsia="仿宋" w:cs="仿宋"/>
          <w:b/>
          <w:bCs/>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第三节、治污减霾防治措施</w:t>
      </w:r>
      <w:bookmarkEnd w:id="39"/>
      <w:bookmarkEnd w:id="40"/>
    </w:p>
    <w:p w14:paraId="46FE92EA">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一、针对本工程的具体情况，在工程施工过程中我们将认真贯切执行国家、**省</w:t>
      </w:r>
      <w:r>
        <w:rPr>
          <w:rFonts w:hint="eastAsia" w:ascii="仿宋" w:hAnsi="仿宋" w:eastAsia="仿宋" w:cs="仿宋"/>
          <w:color w:val="auto"/>
          <w:kern w:val="2"/>
          <w:sz w:val="28"/>
          <w:szCs w:val="28"/>
          <w:lang w:val="en-US" w:eastAsia="zh-CN"/>
        </w:rPr>
        <w:t>**</w:t>
      </w:r>
      <w:r>
        <w:rPr>
          <w:rFonts w:hint="eastAsia" w:ascii="仿宋" w:hAnsi="仿宋" w:eastAsia="仿宋" w:cs="仿宋"/>
          <w:color w:val="auto"/>
          <w:kern w:val="2"/>
          <w:sz w:val="28"/>
          <w:szCs w:val="28"/>
          <w:lang w:val="en-US" w:eastAsia="zh-CN"/>
        </w:rPr>
        <w:t>市环境保护的法律法规和环境标准、采用清洁工艺，坚持清洁生产，不断提高全体参建员工的环境意识，综合利用各种资源，最大限度的降低各种原材料的消耗，节能、节水、节约原材料；废气、废水、各种废弃物达标排放，从严把握噪音标准，控制施工噪音污染，保护文物古迹，维护城市交通正常秩序。</w:t>
      </w:r>
    </w:p>
    <w:p w14:paraId="1F354627">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本工程防尘目标如下：</w:t>
      </w:r>
    </w:p>
    <w:p w14:paraId="14123085">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1、施工扬尘污染控制达标。</w:t>
      </w:r>
    </w:p>
    <w:p w14:paraId="1D4F1D30">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2、无市民重大投诉。</w:t>
      </w:r>
    </w:p>
    <w:p w14:paraId="2E35084E">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3、无因施工扬尘控制不善造成的上级处罚和通报批评。</w:t>
      </w:r>
    </w:p>
    <w:p w14:paraId="59300371">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4、上级部门检查验收达标。</w:t>
      </w:r>
    </w:p>
    <w:p w14:paraId="5CFF0799">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二、组织建立</w:t>
      </w:r>
    </w:p>
    <w:p w14:paraId="1C3FB46C">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本工程建立由建设单位领导，监理单位监督，施工单位工作管理网络，负责施工现场污染控制的策划、组织、落实，并从财力、物力、人力上实施战略布置，将本工程的施工扬尘控制管理融入到整个施工管理中。</w:t>
      </w:r>
    </w:p>
    <w:p w14:paraId="4D6A916E">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（一）、领导小组</w:t>
      </w:r>
    </w:p>
    <w:p w14:paraId="36CF7904">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为了确保施工环境质量，由项目经理部成立以项目经理为组长的防尘施工领导小组。</w:t>
      </w:r>
    </w:p>
    <w:p w14:paraId="11895678">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（二）、巡视制度</w:t>
      </w:r>
    </w:p>
    <w:p w14:paraId="2F0EDB38">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巡视检查是消除扬尘隐患，预防扬尘，保证安全生产的重要手段和措施。为了不断改善生产条件和作业环境，使作业环境达到最佳状态。从而采取有效对策，消除不利因素，保障生产环境，特制定巡视检查制度如下：</w:t>
      </w:r>
    </w:p>
    <w:p w14:paraId="606021DF">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1、巡视检查的内容：按照主要控制点进行巡检，对照检查执行情况；垃圾清运等。</w:t>
      </w:r>
    </w:p>
    <w:p w14:paraId="77C25B01">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2、巡视检查的方法定期检查、突击性检查、季节性和节假日前后的检查和经常性检查。</w:t>
      </w:r>
    </w:p>
    <w:p w14:paraId="39AAED04">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3、项目部施工工地每周定期检查，每周突击检查一次，由项目经理组织；劳务公司每天检查，由施工负责人组织，生产班组对各自所处环境的工作程序要坚持每日进行自检，项目部组员跟踪监督检查，随时消除隐患。</w:t>
      </w:r>
    </w:p>
    <w:p w14:paraId="4608E525">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4、突击检查，每周组织突击检查一次；根据施工进度情况，在施工高峰期时，可适当增加组织突击检查次数。</w:t>
      </w:r>
    </w:p>
    <w:p w14:paraId="5765FABC">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5、季节性和节假日前后检查，针对气候特点，冬季多风、空气干燥，易形成扬尘，提前作好冬季防风；针对重大节假日前后，防止职工纪律松懈，思想麻痹，要认真搞好防尘治污减霾教育，落实防尘治污减霾防范措施。</w:t>
      </w:r>
    </w:p>
    <w:p w14:paraId="4AD33AEF">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6、对检查出的扬尘隐患的处理：</w:t>
      </w:r>
    </w:p>
    <w:p w14:paraId="356AE4FC">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各种类型的检查，必须认真细致，不留死角，查出的扬尘隐患要建立事故隐患台帐，重大扬尘隐患要填写事故隐患指令书，落实专人限期整改。</w:t>
      </w:r>
    </w:p>
    <w:p w14:paraId="45B7FAD2">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三、责任制考核</w:t>
      </w:r>
    </w:p>
    <w:p w14:paraId="696061A5">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（一）、责任考核管理</w:t>
      </w:r>
    </w:p>
    <w:p w14:paraId="1458DA7B">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实施施工扬尘控制和治污减霾，责任在领导，管理在岗位，关键是班组。因此项目部必须在建立和健全各项扬尘控制和治污规章制度的基础上，落实各级管理责任，将施工治污减霾与安全生产和文明施工管理紧紧联系在一起，使之始终贯穿于整个施工管理过程中，成为安全保证体系中环境因素的一个补充要素，实施全过程、全方位控制。</w:t>
      </w:r>
    </w:p>
    <w:p w14:paraId="17A6DEE7">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1、项目经理是施工扬尘污染控制的第一责任人，必须对施工现场的治污减霾控制负全面责任。</w:t>
      </w:r>
    </w:p>
    <w:p w14:paraId="304BAF45">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2、各管理岗位人员必须对施工扬尘控制列入施工全过程管理的范畴，对照自己的职责，加强管理。</w:t>
      </w:r>
    </w:p>
    <w:p w14:paraId="583B9680">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3、班组长是作业组施工扬尘控制的带头人，必须服从项目部指挥，积极主动地搞好扬尘污染控制。</w:t>
      </w:r>
    </w:p>
    <w:p w14:paraId="2C39B0E2">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4、项目经理与各相关管理人员签定管理岗位责任书，并按安全生产责任考核表进行考核。</w:t>
      </w:r>
    </w:p>
    <w:p w14:paraId="1A6F53AD">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5、项目部与各施工班组以特殊岗位操作人员落实施工扬尘控制责任，制定奖罚制度，以推动施工扬尘污染控制的进程。</w:t>
      </w:r>
    </w:p>
    <w:p w14:paraId="44BD6104">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四、管理控制</w:t>
      </w:r>
    </w:p>
    <w:p w14:paraId="76C42E3B">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（一）日常管理</w:t>
      </w:r>
    </w:p>
    <w:p w14:paraId="1CC2B0CD">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1、施工区、生活区、办公区保洁</w:t>
      </w:r>
    </w:p>
    <w:p w14:paraId="5C7F7967">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施工区内每日进行定时清扫，及时洒水，确保路面清洁；日常车辆进料，必须对车辆进行冲洗，保证灰土不带出工地。生活区、办公区由保洁员进行日常保结清扫工作。</w:t>
      </w:r>
    </w:p>
    <w:p w14:paraId="7025880E">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2、每日进行1至2次清扫，清扫的尘土和垃圾必须及时处理运至垃圾存放点，不得滞留。</w:t>
      </w:r>
    </w:p>
    <w:p w14:paraId="5DFF26BD">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3、在清扫前，必须对路面进行洒水，防止清扫时产生扬尘而污染周边环境。</w:t>
      </w:r>
    </w:p>
    <w:p w14:paraId="7DEF1018">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4、车辆进料必须进行登记，车辆出门必须进行洗车，入进料车辆拒不执行洗车，一律不予放行，并及时报告项目部。</w:t>
      </w:r>
    </w:p>
    <w:p w14:paraId="0B16372E">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5、做好保卫工作，与本工程无关的扬尘污染源禁止带进工地。6、生活区垃圾箱必须及时更换垃圾袋，及时清运，及时上盖。</w:t>
      </w:r>
    </w:p>
    <w:p w14:paraId="132A6D45">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（二）、洗车池、沉淀池管理</w:t>
      </w:r>
    </w:p>
    <w:p w14:paraId="11D6AB76">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1、施工现场的洗车池、沉淀池定期清理。</w:t>
      </w:r>
    </w:p>
    <w:p w14:paraId="2F78C8D7">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2、日常每七天一次对洗车池、沉淀池进行处理，特殊情况下（如浇灌混泥土）必须及时清理。</w:t>
      </w:r>
    </w:p>
    <w:p w14:paraId="2CB9C05A">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3、保证管道畅通。</w:t>
      </w:r>
    </w:p>
    <w:p w14:paraId="1DE8DE84">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4、不得将漂浮物和固体物件排入沉淀池内。</w:t>
      </w:r>
    </w:p>
    <w:p w14:paraId="2646619D">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5、专池专用，不得代替其它排水池。</w:t>
      </w:r>
    </w:p>
    <w:p w14:paraId="60696A03">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6、不得损坏洗车池、沉淀池。</w:t>
      </w:r>
    </w:p>
    <w:p w14:paraId="677E284F">
      <w:pPr>
        <w:keepNext w:val="0"/>
        <w:keepLines w:val="0"/>
        <w:pageBreakBefore w:val="0"/>
        <w:widowControl/>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color w:val="auto"/>
          <w:kern w:val="2"/>
          <w:sz w:val="28"/>
          <w:szCs w:val="28"/>
          <w:lang w:val="en-US" w:eastAsia="zh-CN"/>
        </w:rPr>
      </w:pPr>
      <w:r>
        <w:rPr>
          <w:rFonts w:hint="eastAsia" w:ascii="仿宋" w:hAnsi="仿宋" w:eastAsia="仿宋" w:cs="仿宋"/>
          <w:color w:val="auto"/>
          <w:kern w:val="2"/>
          <w:sz w:val="28"/>
          <w:szCs w:val="28"/>
          <w:lang w:val="en-US" w:eastAsia="zh-CN"/>
        </w:rPr>
        <w:t>7、定期对洗车池、沉淀池的沉淀排污情况进行检查，保证排污达标。</w:t>
      </w:r>
    </w:p>
    <w:bookmarkEnd w:id="41"/>
    <w:p w14:paraId="06FE3C54">
      <w:pPr>
        <w:keepNext w:val="0"/>
        <w:keepLines w:val="0"/>
        <w:pageBreakBefore w:val="0"/>
        <w:widowControl/>
        <w:kinsoku/>
        <w:wordWrap/>
        <w:overflowPunct/>
        <w:topLinePunct w:val="0"/>
        <w:bidi w:val="0"/>
        <w:spacing w:before="0" w:beforeLines="0" w:after="0" w:afterLines="0" w:line="600" w:lineRule="auto"/>
        <w:ind w:firstLine="562" w:firstLineChars="200"/>
        <w:jc w:val="left"/>
        <w:outlineLvl w:val="2"/>
        <w:rPr>
          <w:rFonts w:hint="eastAsia" w:ascii="仿宋" w:hAnsi="仿宋" w:eastAsia="仿宋" w:cs="仿宋"/>
          <w:b/>
          <w:bCs/>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第四节、扬尘防治措施</w:t>
      </w:r>
    </w:p>
    <w:p w14:paraId="52CFB0A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1、日常管理</w:t>
      </w:r>
    </w:p>
    <w:p w14:paraId="7DCB108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1.1、施工现场保洁</w:t>
      </w:r>
    </w:p>
    <w:p w14:paraId="28BD51D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施工区内派清扫班每日进行定时清扫，及时洒水，确保路面清洁;日常车辆进料，必须对车辆进行冲洗，保证灰土不带出工地。生活区、办公区由保洁员每天进行日常清扫工作。</w:t>
      </w:r>
    </w:p>
    <w:p w14:paraId="713E5B2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1.1.1、每日进行1至2次清扫，清扫的灰尘和垃圾必须及时处理至垃圾存放点，不得滞留</w:t>
      </w:r>
    </w:p>
    <w:p w14:paraId="30CDEF00">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1.1.2、在清扫前，必须对路面、地面进行酒水，防止清扫时产生扬尘而污染周边环境。</w:t>
      </w:r>
    </w:p>
    <w:p w14:paraId="48B06E6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1.1.3、车辆进料必须进行登记，车辆出门必须进行洗车，入料车辆拒不执行洗车，一律不子放行，并及时报告项目部:</w:t>
      </w:r>
    </w:p>
    <w:p w14:paraId="5FF0B1E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1.1.4、做好保卫工作，与本工程无关的扬尘污染源禁止带进工地。1.1.5、生活区垃圾箱必须及时更换垃圾袋，及时清运，及时上盖。</w:t>
      </w:r>
    </w:p>
    <w:p w14:paraId="56191A7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1.1.6、严禁在施工现场焚烧度物，防止有毒烟尘和恶臭气体产生。</w:t>
      </w:r>
    </w:p>
    <w:p w14:paraId="1D887FB0">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1.2、垃圾及材料运输管理</w:t>
      </w:r>
    </w:p>
    <w:p w14:paraId="11C86CA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垃圾及砂石等材料的运输，能导致在运输途中的撒、漏、扬等不良现场，造成扬尘污染和其它环境影响，必须实施控制。</w:t>
      </w:r>
    </w:p>
    <w:p w14:paraId="4C620F9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1.2.1、垃圾的清运和砂石材料的进场必须由车厢自动翻盖的车辆实施封闭运输，无此设备的车辆禁止进场运输。</w:t>
      </w:r>
    </w:p>
    <w:p w14:paraId="041B8B8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1.2.2、禁止超载，必须保证车厢封闭完整，不留漏缝。</w:t>
      </w:r>
    </w:p>
    <w:p w14:paraId="39D7C11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1.2.3、车辆出门必须用水冲洗。</w:t>
      </w:r>
    </w:p>
    <w:p w14:paraId="75C68C6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1.2.4、自动反倒时必须缓慢进行，禁止猛加油门而造成排气管冲灰产生扬尘。</w:t>
      </w:r>
    </w:p>
    <w:p w14:paraId="7D0456A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1.3、露天材料堆放管理</w:t>
      </w:r>
    </w:p>
    <w:p w14:paraId="7916513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钢筋、砂、石子等均为工地露天堆放材料，如管理不好，将产生钢筋粉飞扬、砂石尘飞扬等粉尘污染，因此必须加以控制。</w:t>
      </w:r>
    </w:p>
    <w:p w14:paraId="4A6E8E6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1.3.1、严格控制成型钢筋进场，钢筋进场后立即整理归堆上架做好标识。</w:t>
      </w:r>
    </w:p>
    <w:p w14:paraId="662D6F6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1.3.2、石子、砂堆放在专用池槽，控制进料量，做到随到随用,不得大量囤积。</w:t>
      </w:r>
    </w:p>
    <w:p w14:paraId="425BA31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1.3.3、石子、砂必须堆积方正，底脚整齐、干净，并将周边及上方拍平压实，用密目网进行覆盖，如过分干燥，须及时酒水。</w:t>
      </w:r>
    </w:p>
    <w:p w14:paraId="3575FD5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1.3.4、使用砂石时禁止将所有遮盖的密目网全部打开，稍打开角，用后拍平盖好。</w:t>
      </w:r>
    </w:p>
    <w:p w14:paraId="484FCFA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2、围护阶段管理措施</w:t>
      </w:r>
    </w:p>
    <w:p w14:paraId="71EEF2D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2.1、建筑工地必须实行围挡全封闭施工，围挡高度不低于2米围挡应坚固、稳定、整洁、美观、规范成线，并在围挡底端设置防溢座，围挡之间以及围挡与防溢座之间无缝隙，对围挡落尘应当定期清洗，保证施工工地周围环境整洁，地面应当实行混凝土硬化;其他地区的施工现场从大门入口处应设置长度不少于30m的混凝土路面，裸露地面应当采取绿化措施或采用绿色防尘网苫盖:</w:t>
      </w:r>
    </w:p>
    <w:p w14:paraId="46C796F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2.2、施工过程中所有施工机械、设备、进出车辆、材料如被泥浆溅染须及时清理保洁。</w:t>
      </w:r>
    </w:p>
    <w:p w14:paraId="335047B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2.3、对可能产生粉尘的施工，采取先酒水或在施工中喷水的办法减少粉尘的产生，尽可能选用环保型的低排放施工机械，并将下方的地面浇水冲洗干净，防止排气将尘土扬起飞散。</w:t>
      </w:r>
    </w:p>
    <w:p w14:paraId="4F298323">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3、降尘措施</w:t>
      </w:r>
    </w:p>
    <w:p w14:paraId="1F87966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3.1、车辆出入口设置清洗车辆用喷头和冲洗池，驶入和驶出建筑工地的运输车辆必须车身整洁，不得污染道路，运输车辆经冲洗干净后驶出施工场地，防止车辆将泥沙带出场外。车辆到指定有洗车池的地点进行冲洗，严禁随意择池冲洗车辆。在土方开挖、回填、运输、卸载、地基处理等施工过程中，采取喷、洒水措施，保持土方表面有一定的湿润度，防止扬尘。</w:t>
      </w:r>
    </w:p>
    <w:p w14:paraId="597E2C1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3.2、对出入施工现场的各种车辆进行限速(行驶速度不得超过15公里/小时)，防止车速过快产生扬尘。</w:t>
      </w:r>
    </w:p>
    <w:p w14:paraId="5462D7B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3.3、车辆清洗废水经二次沉淀后循环使用或用于酒水降尘。</w:t>
      </w:r>
    </w:p>
    <w:p w14:paraId="22AF2EB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3.4、砂、土和其他易飞扬、细颗粒散体材料、现场土方及垃圾:采取表面固化或覆盖防尘网等扬尘措施。防止施工现场的沙尘及轻质材料被风吹至空中污染环境。</w:t>
      </w:r>
    </w:p>
    <w:p w14:paraId="23CD231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3.5、为防止施工扬尘，施工现场应每天根据现场情况及时进行清扫酒水(雨雪天及地表结冰的天气除外)，在土方施工、干天气、风力四级以上的天气条件下，应适当增加酒水次数。</w:t>
      </w:r>
    </w:p>
    <w:p w14:paraId="755F20D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3.6、非施工作业面的裸露地面、长期存放或超过一天以上的临时存放的土堆应采用防尘网进行覆盖，或采取绿化、固化措施。</w:t>
      </w:r>
    </w:p>
    <w:p w14:paraId="2410268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3.7、施工现场设置易产生扬尘的施工机械时，必须配备降尘防尘装置。</w:t>
      </w:r>
    </w:p>
    <w:p w14:paraId="3BC7532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3.8、施工区域内的临时道路专人清扫，洒水，各种加工场地及材料堆场划分负责区，由相关施工班组每日清扫:并指定负责人。</w:t>
      </w:r>
    </w:p>
    <w:p w14:paraId="79CF8EF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4、废水控制措施</w:t>
      </w:r>
    </w:p>
    <w:p w14:paraId="7518A7B0">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4.1、施工现场临时设施的废水，通过沉淀等措施，使生活污水净化后，再排入当地沟渠。</w:t>
      </w:r>
    </w:p>
    <w:p w14:paraId="6E31055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4.2、在施工进入口设置洗车及沉淀池，冲洗车的废水经过沉淀后采用二次利用。</w:t>
      </w:r>
    </w:p>
    <w:p w14:paraId="06F017E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4.3、排水设置雨污分流，尽量收集雨水并加以利用</w:t>
      </w:r>
    </w:p>
    <w:p w14:paraId="622DEA0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5、降噪控制措施</w:t>
      </w:r>
    </w:p>
    <w:p w14:paraId="590A99B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5.1、施工现场提倡文明施工，尽量减少人为的大声喧哗，增强全体施工人员防噪声扰民的自觉意识。</w:t>
      </w:r>
    </w:p>
    <w:p w14:paraId="46A70C1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5.2、所有施工机械应符合环保标准，操作人员需经过环保教育。</w:t>
      </w:r>
    </w:p>
    <w:p w14:paraId="6683390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5.3、施工过程中，严格控制推土机一次推土量、装载机装载量严禁超负荷运转。</w:t>
      </w:r>
    </w:p>
    <w:p w14:paraId="37AC1330">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5.4、加强施工机械的维修保养，缩短维修保养周期，确保机械设备处于完好的技术状态，</w:t>
      </w:r>
    </w:p>
    <w:p w14:paraId="58BADDF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5.5、尽量选择低噪声设备，最大限度降低声。要为操作工人配备相应的劳动保护用品。</w:t>
      </w:r>
    </w:p>
    <w:p w14:paraId="33DD489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5.6、车辆噪声采取保持技术状态完好和适当减低速度的方法进行控制。</w:t>
      </w:r>
    </w:p>
    <w:p w14:paraId="493912E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5.7、施工现场提倡文明施工，通过对全体有关人员进行培训、教育，培养环境观念，树立正确的环境意识，减少环境声污染，使作业人员在工作中对噪音影响予以控制。</w:t>
      </w:r>
    </w:p>
    <w:p w14:paraId="781919F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5.8、从声源上降低噪声。尽量选用低噪声设备和工艺，尽量选用环保型机械设备。</w:t>
      </w:r>
    </w:p>
    <w:p w14:paraId="00F7EDF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5.9、从传播途径上控制噪声。对于噪声较大的设备，如发电机等应采取吸声、隔音、隔振、和阻尼等声学处理方法降低声，必要时设立专用工作间，以降低噪声。</w:t>
      </w:r>
    </w:p>
    <w:p w14:paraId="6D6250E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5.10、严格强噪声控制作业时间，原则上夜间作业时间不超过22:00，在22:0-次日06:00范围。目标值:白天夜间(符合规范规定)</w:t>
      </w:r>
    </w:p>
    <w:p w14:paraId="5B9D3B89">
      <w:pPr>
        <w:keepNext w:val="0"/>
        <w:keepLines w:val="0"/>
        <w:pageBreakBefore w:val="0"/>
        <w:widowControl/>
        <w:kinsoku/>
        <w:wordWrap/>
        <w:overflowPunct/>
        <w:topLinePunct w:val="0"/>
        <w:bidi w:val="0"/>
        <w:spacing w:before="0" w:beforeLines="0" w:after="0" w:afterLines="0" w:line="600" w:lineRule="auto"/>
        <w:ind w:firstLine="562" w:firstLineChars="200"/>
        <w:jc w:val="left"/>
        <w:outlineLvl w:val="2"/>
        <w:rPr>
          <w:rFonts w:hint="eastAsia" w:ascii="仿宋" w:hAnsi="仿宋" w:eastAsia="仿宋" w:cs="仿宋"/>
          <w:b/>
          <w:bCs/>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第五节、堆土场管理</w:t>
      </w:r>
    </w:p>
    <w:p w14:paraId="04137F3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1、应做好垃圾场周围和作业面的防排水处理，确保场地排水畅通、不积水</w:t>
      </w:r>
    </w:p>
    <w:p w14:paraId="277ECF6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2、垃圾场的防护、施工安全等必须参照有关施工规范要求办理。</w:t>
      </w:r>
    </w:p>
    <w:p w14:paraId="0363AEC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3、下班后派专人巡查，发现安全隐患要及时处理上报并设置明显的警示标志。</w:t>
      </w:r>
    </w:p>
    <w:p w14:paraId="3CE17CD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4、工程完工后，及时拆除施工工地临时设施，及时清除渣土、平整场地，恢复周围环境:工程施工和停工期间，应负责保持垃圾场地及周边环境卫生。</w:t>
      </w:r>
    </w:p>
    <w:p w14:paraId="41788C7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5、堆土平台必须平整，堆土线应整体、均衡推进，坡顶线呈直线或弧形，堆土边坡采用自然放坡。</w:t>
      </w:r>
    </w:p>
    <w:p w14:paraId="651F90B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6、必须按顺序堆土，在同一地点进行卸土及推土作业时，设备之间必须保持足够的安全距离。</w:t>
      </w:r>
    </w:p>
    <w:p w14:paraId="0B06390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7、卸土时汽车应垂直于堆土线，严禁高速倒车以免发生安全事故。</w:t>
      </w:r>
    </w:p>
    <w:p w14:paraId="638713B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8、推土时，在垃圾场地边缘严禁沿平行堆土坡顶线方向推土。</w:t>
      </w:r>
    </w:p>
    <w:p w14:paraId="0EFF704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9、垃圾场作业区内烟雾、粉尘、照明等因素导致驾驶员视距小于30米或暴雨、大雪、大风等恶劣天气时，应停止存土作业。</w:t>
      </w:r>
    </w:p>
    <w:p w14:paraId="7DC0360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10、汽车进入垃圾场内应限速行驶，距堆土工作面50~200m时速度低于16km/h，50m范围内低于8km/h。堆土作业区设置一定数量的限速牌等安全标志牌</w:t>
      </w:r>
    </w:p>
    <w:p w14:paraId="1FAAB05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11、堆土作业区配备质量合格、适合相应载重汽车突发事故救援使用的钢丝绳(多于4根)、大卸扣(多于4个)等应急工具</w:t>
      </w:r>
    </w:p>
    <w:p w14:paraId="6CC39A5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12、垃圾场运转过程中，垃圾场关键点应有警示标志、安全保障等措施。</w:t>
      </w:r>
    </w:p>
    <w:p w14:paraId="33A099D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13、垃圾场进行全面覆盖，覆盖材料为土工布、安全网等，并加以固定。</w:t>
      </w:r>
    </w:p>
    <w:p w14:paraId="6D003703">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14、施工现场</w:t>
      </w:r>
    </w:p>
    <w:p w14:paraId="53CB5B9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14.1、大门前醒目位置设置渣土运输处置公示牌，写明运输企业名称、城市管理、公安机关交通管理、环境保护部门等投诉电话。</w:t>
      </w:r>
    </w:p>
    <w:p w14:paraId="588D3B4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14.2在大门口显目处设置六牌二图，工程概况牌，安全生产六大纪律牌，防火须知牌，十项安全技术措施牌，工地管理人员名单牌安全生产无重大事故计数牌。施工现场平面图，业绩效果图。二图牌应设置稳固，规格统一，位置合理，字迹端正，线条清晰，表示明确。</w:t>
      </w:r>
    </w:p>
    <w:p w14:paraId="2DC2704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14.3施工围挡采用统一的彩钢瓦或砖砌筑的围墙高1.8m，墙厚24cm，墙面抹灰并粉刷白色。</w:t>
      </w:r>
    </w:p>
    <w:p w14:paraId="4245FCC7">
      <w:pPr>
        <w:keepNext w:val="0"/>
        <w:keepLines w:val="0"/>
        <w:widowControl/>
        <w:suppressLineNumbers w:val="0"/>
        <w:spacing w:line="600" w:lineRule="auto"/>
        <w:ind w:left="0" w:leftChars="0" w:firstLine="0" w:firstLineChars="0"/>
        <w:jc w:val="center"/>
        <w:outlineLvl w:val="1"/>
        <w:rPr>
          <w:rFonts w:hint="eastAsia" w:ascii="仿宋" w:hAnsi="仿宋" w:eastAsia="仿宋" w:cs="仿宋"/>
          <w:color w:val="auto"/>
          <w:sz w:val="28"/>
          <w:szCs w:val="28"/>
        </w:rPr>
      </w:pPr>
      <w:r>
        <w:rPr>
          <w:rFonts w:hint="eastAsia" w:ascii="仿宋" w:hAnsi="仿宋" w:eastAsia="仿宋" w:cs="仿宋"/>
          <w:b/>
          <w:bCs/>
          <w:color w:val="auto"/>
          <w:kern w:val="0"/>
          <w:sz w:val="28"/>
          <w:szCs w:val="28"/>
          <w:lang w:val="en-US" w:eastAsia="zh-CN" w:bidi="ar"/>
        </w:rPr>
        <w:t>第四章：垃圾清运总体方案</w:t>
      </w:r>
      <w:bookmarkEnd w:id="1"/>
    </w:p>
    <w:p w14:paraId="6DFA15E1">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zh-CN" w:bidi="ar-SA"/>
        </w:rPr>
      </w:pPr>
      <w:bookmarkStart w:id="51" w:name="_Toc44142043"/>
      <w:r>
        <w:rPr>
          <w:rFonts w:hint="eastAsia" w:ascii="仿宋" w:hAnsi="仿宋" w:eastAsia="仿宋" w:cs="仿宋"/>
          <w:b/>
          <w:bCs/>
          <w:snapToGrid w:val="0"/>
          <w:color w:val="auto"/>
          <w:kern w:val="2"/>
          <w:sz w:val="28"/>
          <w:szCs w:val="28"/>
          <w:lang w:val="en-US" w:eastAsia="en-US" w:bidi="ar-SA"/>
        </w:rPr>
        <w:t>第一节、项目概况</w:t>
      </w:r>
      <w:bookmarkEnd w:id="51"/>
      <w:r>
        <w:rPr>
          <w:rFonts w:hint="eastAsia" w:ascii="仿宋" w:hAnsi="仿宋" w:eastAsia="仿宋" w:cs="仿宋"/>
          <w:b/>
          <w:bCs/>
          <w:snapToGrid w:val="0"/>
          <w:color w:val="auto"/>
          <w:kern w:val="2"/>
          <w:sz w:val="28"/>
          <w:szCs w:val="28"/>
          <w:lang w:val="en-US" w:eastAsia="zh-CN" w:bidi="ar-SA"/>
        </w:rPr>
        <w:t>（根据项目情况填写）</w:t>
      </w:r>
    </w:p>
    <w:p w14:paraId="698FFA3E">
      <w:pPr>
        <w:pageBreakBefore w:val="0"/>
        <w:kinsoku/>
        <w:wordWrap/>
        <w:overflowPunct/>
        <w:topLinePunct/>
        <w:autoSpaceDE w:val="0"/>
        <w:autoSpaceDN w:val="0"/>
        <w:bidi w:val="0"/>
        <w:spacing w:line="600" w:lineRule="auto"/>
        <w:ind w:firstLine="560" w:firstLineChars="200"/>
        <w:jc w:val="left"/>
        <w:rPr>
          <w:rFonts w:hint="eastAsia" w:ascii="仿宋" w:hAnsi="仿宋" w:eastAsia="仿宋" w:cs="仿宋"/>
          <w:bCs/>
          <w:color w:val="auto"/>
          <w:kern w:val="0"/>
          <w:sz w:val="28"/>
          <w:szCs w:val="28"/>
          <w:lang w:val="en-US" w:eastAsia="zh-CN"/>
        </w:rPr>
      </w:pPr>
      <w:bookmarkStart w:id="52" w:name="_Toc44142044"/>
      <w:r>
        <w:rPr>
          <w:rFonts w:hint="eastAsia" w:ascii="仿宋" w:hAnsi="仿宋" w:eastAsia="仿宋" w:cs="仿宋"/>
          <w:bCs/>
          <w:color w:val="auto"/>
          <w:kern w:val="0"/>
          <w:sz w:val="28"/>
          <w:szCs w:val="28"/>
          <w:lang w:val="en-US" w:eastAsia="zh-CN"/>
        </w:rPr>
        <w:t>招标项目名称:</w:t>
      </w:r>
      <w:r>
        <w:rPr>
          <w:rFonts w:hint="eastAsia" w:ascii="仿宋" w:hAnsi="仿宋" w:eastAsia="仿宋" w:cs="仿宋"/>
          <w:bCs/>
          <w:color w:val="auto"/>
          <w:kern w:val="0"/>
          <w:sz w:val="28"/>
          <w:szCs w:val="28"/>
          <w:lang w:val="en-US" w:eastAsia="zh-CN"/>
        </w:rPr>
        <w:t>***********垃圾清运服务项目</w:t>
      </w:r>
    </w:p>
    <w:p w14:paraId="1521D525">
      <w:pPr>
        <w:pageBreakBefore w:val="0"/>
        <w:kinsoku/>
        <w:wordWrap/>
        <w:overflowPunct/>
        <w:topLinePunct/>
        <w:autoSpaceDE w:val="0"/>
        <w:autoSpaceDN w:val="0"/>
        <w:bidi w:val="0"/>
        <w:spacing w:line="600" w:lineRule="auto"/>
        <w:ind w:firstLine="560" w:firstLineChars="200"/>
        <w:jc w:val="left"/>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招标人名称：***********</w:t>
      </w:r>
    </w:p>
    <w:p w14:paraId="23C6A6B7">
      <w:pPr>
        <w:pageBreakBefore w:val="0"/>
        <w:kinsoku/>
        <w:wordWrap/>
        <w:overflowPunct/>
        <w:topLinePunct/>
        <w:autoSpaceDE w:val="0"/>
        <w:autoSpaceDN w:val="0"/>
        <w:bidi w:val="0"/>
        <w:spacing w:line="600" w:lineRule="auto"/>
        <w:ind w:firstLine="560" w:firstLineChars="200"/>
        <w:jc w:val="left"/>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招标代理名称:***********</w:t>
      </w:r>
    </w:p>
    <w:p w14:paraId="48BB632C">
      <w:pPr>
        <w:pageBreakBefore w:val="0"/>
        <w:kinsoku/>
        <w:wordWrap/>
        <w:overflowPunct/>
        <w:topLinePunct/>
        <w:autoSpaceDE w:val="0"/>
        <w:autoSpaceDN w:val="0"/>
        <w:bidi w:val="0"/>
        <w:spacing w:line="600" w:lineRule="auto"/>
        <w:ind w:firstLine="560" w:firstLineChars="200"/>
        <w:jc w:val="left"/>
        <w:rPr>
          <w:rFonts w:hint="eastAsia" w:ascii="仿宋" w:hAnsi="仿宋" w:eastAsia="仿宋" w:cs="仿宋"/>
          <w:bCs/>
          <w:color w:val="auto"/>
          <w:kern w:val="0"/>
          <w:sz w:val="28"/>
          <w:szCs w:val="28"/>
          <w:lang w:val="en-US" w:eastAsia="zh-CN"/>
        </w:rPr>
      </w:pPr>
      <w:r>
        <w:rPr>
          <w:rFonts w:hint="eastAsia" w:ascii="仿宋" w:hAnsi="仿宋" w:eastAsia="仿宋" w:cs="仿宋"/>
          <w:bCs/>
          <w:color w:val="auto"/>
          <w:kern w:val="0"/>
          <w:sz w:val="28"/>
          <w:szCs w:val="28"/>
          <w:lang w:val="en-US" w:eastAsia="zh-CN"/>
        </w:rPr>
        <w:t>项目概况：</w:t>
      </w:r>
    </w:p>
    <w:p w14:paraId="51717B62">
      <w:pPr>
        <w:pageBreakBefore w:val="0"/>
        <w:kinsoku/>
        <w:wordWrap/>
        <w:overflowPunct/>
        <w:topLinePunct/>
        <w:autoSpaceDE w:val="0"/>
        <w:autoSpaceDN w:val="0"/>
        <w:bidi w:val="0"/>
        <w:spacing w:line="600" w:lineRule="auto"/>
        <w:ind w:firstLine="560" w:firstLineChars="200"/>
        <w:jc w:val="left"/>
        <w:rPr>
          <w:rFonts w:hint="eastAsia" w:ascii="仿宋" w:hAnsi="仿宋" w:eastAsia="仿宋" w:cs="仿宋"/>
          <w:bCs/>
          <w:color w:val="auto"/>
          <w:kern w:val="0"/>
          <w:sz w:val="28"/>
          <w:szCs w:val="28"/>
        </w:rPr>
      </w:pPr>
      <w:r>
        <w:rPr>
          <w:rFonts w:hint="eastAsia" w:ascii="仿宋" w:hAnsi="仿宋" w:eastAsia="仿宋" w:cs="仿宋"/>
          <w:bCs/>
          <w:color w:val="auto"/>
          <w:kern w:val="0"/>
          <w:sz w:val="28"/>
          <w:szCs w:val="28"/>
        </w:rPr>
        <w:t>工期：</w:t>
      </w:r>
      <w:r>
        <w:rPr>
          <w:rFonts w:hint="eastAsia" w:ascii="仿宋" w:hAnsi="仿宋" w:eastAsia="仿宋" w:cs="仿宋"/>
          <w:bCs/>
          <w:color w:val="auto"/>
          <w:kern w:val="0"/>
          <w:sz w:val="28"/>
          <w:szCs w:val="28"/>
          <w:lang w:val="en-US" w:eastAsia="zh-CN"/>
        </w:rPr>
        <w:t>**</w:t>
      </w:r>
      <w:r>
        <w:rPr>
          <w:rFonts w:hint="eastAsia" w:ascii="仿宋" w:hAnsi="仿宋" w:eastAsia="仿宋" w:cs="仿宋"/>
          <w:bCs/>
          <w:color w:val="auto"/>
          <w:kern w:val="0"/>
          <w:sz w:val="28"/>
          <w:szCs w:val="28"/>
        </w:rPr>
        <w:t>天</w:t>
      </w:r>
    </w:p>
    <w:p w14:paraId="13612156">
      <w:pPr>
        <w:pageBreakBefore w:val="0"/>
        <w:kinsoku/>
        <w:wordWrap/>
        <w:overflowPunct/>
        <w:topLinePunct/>
        <w:autoSpaceDE w:val="0"/>
        <w:autoSpaceDN w:val="0"/>
        <w:bidi w:val="0"/>
        <w:spacing w:line="600" w:lineRule="auto"/>
        <w:ind w:firstLine="560" w:firstLineChars="200"/>
        <w:jc w:val="left"/>
        <w:rPr>
          <w:rFonts w:hint="eastAsia" w:ascii="仿宋" w:hAnsi="仿宋" w:eastAsia="仿宋" w:cs="仿宋"/>
          <w:bCs/>
          <w:color w:val="auto"/>
          <w:kern w:val="0"/>
          <w:sz w:val="28"/>
          <w:szCs w:val="28"/>
        </w:rPr>
      </w:pPr>
      <w:r>
        <w:rPr>
          <w:rFonts w:hint="eastAsia" w:ascii="仿宋" w:hAnsi="仿宋" w:eastAsia="仿宋" w:cs="仿宋"/>
          <w:bCs/>
          <w:color w:val="auto"/>
          <w:kern w:val="0"/>
          <w:sz w:val="28"/>
          <w:szCs w:val="28"/>
        </w:rPr>
        <w:t>质量</w:t>
      </w:r>
      <w:r>
        <w:rPr>
          <w:rFonts w:hint="eastAsia" w:ascii="仿宋" w:hAnsi="仿宋" w:eastAsia="仿宋" w:cs="仿宋"/>
          <w:bCs/>
          <w:color w:val="auto"/>
          <w:kern w:val="0"/>
          <w:sz w:val="28"/>
          <w:szCs w:val="28"/>
          <w:lang w:val="en-US" w:eastAsia="zh-CN"/>
        </w:rPr>
        <w:t>标准</w:t>
      </w:r>
      <w:r>
        <w:rPr>
          <w:rFonts w:hint="eastAsia" w:ascii="仿宋" w:hAnsi="仿宋" w:eastAsia="仿宋" w:cs="仿宋"/>
          <w:bCs/>
          <w:color w:val="auto"/>
          <w:kern w:val="0"/>
          <w:sz w:val="28"/>
          <w:szCs w:val="28"/>
        </w:rPr>
        <w:t>：合格</w:t>
      </w:r>
    </w:p>
    <w:p w14:paraId="7CCB6CEB">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en-US" w:bidi="ar-SA"/>
        </w:rPr>
      </w:pPr>
      <w:r>
        <w:rPr>
          <w:rFonts w:hint="eastAsia" w:ascii="仿宋" w:hAnsi="仿宋" w:eastAsia="仿宋" w:cs="仿宋"/>
          <w:b/>
          <w:bCs/>
          <w:snapToGrid w:val="0"/>
          <w:color w:val="auto"/>
          <w:kern w:val="2"/>
          <w:sz w:val="28"/>
          <w:szCs w:val="28"/>
          <w:lang w:val="en-US" w:eastAsia="en-US" w:bidi="ar-SA"/>
        </w:rPr>
        <w:t>第二节、施工准备</w:t>
      </w:r>
      <w:bookmarkEnd w:id="52"/>
    </w:p>
    <w:p w14:paraId="6D509D10">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bookmarkStart w:id="53" w:name="_Toc44142051"/>
      <w:bookmarkStart w:id="54" w:name="_Toc433710428"/>
      <w:bookmarkStart w:id="55" w:name="_Toc13154520"/>
      <w:r>
        <w:rPr>
          <w:rFonts w:hint="eastAsia" w:ascii="仿宋" w:hAnsi="仿宋" w:eastAsia="仿宋" w:cs="仿宋"/>
          <w:snapToGrid w:val="0"/>
          <w:color w:val="auto"/>
          <w:kern w:val="0"/>
          <w:sz w:val="28"/>
          <w:szCs w:val="28"/>
          <w:lang w:eastAsia="en-US"/>
        </w:rPr>
        <w:t>一、组织准备</w:t>
      </w:r>
    </w:p>
    <w:p w14:paraId="1C383D59">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1、建立项目部管理班子，制定和落实项目经理部各类施工管理人员岗位责任制。</w:t>
      </w:r>
    </w:p>
    <w:p w14:paraId="0AB2184F">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2、调集施工力量和各种施工机械设备，尽快组织物资和劳动力进场，促进工程尽早开工建设。</w:t>
      </w:r>
    </w:p>
    <w:p w14:paraId="03554C5D">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3、建立、健全项目部质量、安全、文明施工保证体系，针对本工程的特点，制定和完善以下各项管理制度：</w:t>
      </w:r>
    </w:p>
    <w:p w14:paraId="69A86A60">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⑴.施工项目质量管理与控制制度。</w:t>
      </w:r>
    </w:p>
    <w:p w14:paraId="43B1A5D0">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⑵.施工项目计划控制与奖罚制度。</w:t>
      </w:r>
    </w:p>
    <w:p w14:paraId="1FB59328">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⑶.项目部生产调度有关规定。</w:t>
      </w:r>
    </w:p>
    <w:p w14:paraId="3798577D">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⑷.文明施工制度和环境保护制度。</w:t>
      </w:r>
    </w:p>
    <w:p w14:paraId="47F6AAE2">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⑸.项目部业务系统化管理制度。</w:t>
      </w:r>
    </w:p>
    <w:p w14:paraId="44BC53CA">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⑹.施工项目安全管理制度。</w:t>
      </w:r>
    </w:p>
    <w:p w14:paraId="4B130570">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⑺.施工项目材料管理制度。</w:t>
      </w:r>
    </w:p>
    <w:p w14:paraId="562ED24A">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4、熟悉建设单位组织机构、人员安排和工作程序，协助办理前期手续。</w:t>
      </w:r>
    </w:p>
    <w:p w14:paraId="5E6754E1">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二、技术准备</w:t>
      </w:r>
    </w:p>
    <w:p w14:paraId="4A1742A4">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技术准备是施工准备的核心，根据本工程的特点，我们重点从以下几个方面进行技术准备。</w:t>
      </w:r>
    </w:p>
    <w:p w14:paraId="2F8A03E8">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1、编制标后施工组织设计，向建设单位报批。</w:t>
      </w:r>
    </w:p>
    <w:p w14:paraId="1ACACD68">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2、熟悉施工图纸，了解设计意图，明确工程特点，及时组织施工图纸会审与单位工程技术交底和安全交底。针对设计的关键部位、重要分部分项，编制特殊工序施工方案和施工质量控制实施细则。成立QC小组，分析和应对施工难点。</w:t>
      </w:r>
    </w:p>
    <w:p w14:paraId="50E126F8">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①、单位工程技术交底、项目环境管理方案，项目职业健康安全管理方案，由技术负责人编制。质量处、安全处、审核，分管副总经理审批，上报时间开工前10天，开工前一天审批的反馈。</w:t>
      </w:r>
    </w:p>
    <w:p w14:paraId="066A94E2">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②、分部工程技术交底、特殊过程作业指导书，关键部位施工方案，由现场技术主管编制，技术负责人审批、分部或分项工程施工前5天上报，施工前一天审批反馈。</w:t>
      </w:r>
    </w:p>
    <w:p w14:paraId="5E6E907A">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③、分项工程作业指导书由分管工长负责编制，现场技术主管、审批、分项工程施工前3天上报，施工前一天审批反馈。</w:t>
      </w:r>
    </w:p>
    <w:p w14:paraId="0BA58504">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3、编制各工种成本控制实施细则。确定工程成本控制目标，并进行目标分解。做到全面履行工程施工合同，加快资金周转。</w:t>
      </w:r>
    </w:p>
    <w:p w14:paraId="273AC3E0">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4、制定书面、口头交底和示范操作交底程序，编制分部工程技术交底并据此编制分项工程作业指导书、工艺卡。</w:t>
      </w:r>
    </w:p>
    <w:p w14:paraId="2C857100">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三、现场准备</w:t>
      </w:r>
    </w:p>
    <w:p w14:paraId="69C18827">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1、按照建设单位审定的施工总平面布置图组织劳动力布置现场。进行施工、消防和生活用水管路敷设，同时敷设施工用电线路等。</w:t>
      </w:r>
    </w:p>
    <w:p w14:paraId="5C507B2F">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2、按照公司企业视觉识别系统规定进行工地围墙、施工现场围护及通道、防护棚等搭设工作，布置好有关标志及警示牌。</w:t>
      </w:r>
    </w:p>
    <w:p w14:paraId="0581EAC6">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四、工程项目策划</w:t>
      </w:r>
    </w:p>
    <w:p w14:paraId="10E90916">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质量策划作为质量管理的一个主要组成部分，是提高工程质量，提高工作效率，降低工程成本的有效工具。</w:t>
      </w:r>
    </w:p>
    <w:p w14:paraId="17273535">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工程质量策划是创优质工程的基础和起点。为了使质量策划工作真正落到实处，停止依靠检验来保证质量，而是从策划入手保证质量从而降低工程成本、提高工作效率、保证质量水平、创建优质工程，因此我公司将组织相关人员对工程项目进行策划，全员参与并积极落到实处。</w:t>
      </w:r>
    </w:p>
    <w:p w14:paraId="0689DC0B">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工程项目质量策划大致分为5个阶段，分别是项目部的策划准备阶段、职能部门的策划阶段、项目部对策划的实施阶段以及职能部门和项目部对策划的评审阶段、策划的修订阶段和再实施阶段。</w:t>
      </w:r>
      <w:bookmarkStart w:id="56" w:name="_第三节__"/>
      <w:bookmarkEnd w:id="56"/>
    </w:p>
    <w:p w14:paraId="66D0F88F">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五、流水段的划分</w:t>
      </w:r>
    </w:p>
    <w:p w14:paraId="38FBBBA4">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eastAsia="en-US"/>
        </w:rPr>
      </w:pPr>
      <w:r>
        <w:rPr>
          <w:rFonts w:hint="eastAsia" w:ascii="仿宋" w:hAnsi="仿宋" w:eastAsia="仿宋" w:cs="仿宋"/>
          <w:snapToGrid w:val="0"/>
          <w:color w:val="auto"/>
          <w:kern w:val="0"/>
          <w:sz w:val="28"/>
          <w:szCs w:val="28"/>
          <w:lang w:eastAsia="en-US"/>
        </w:rPr>
        <w:t>科学的组织，精心的安排，确保施工进度按计划完成。</w:t>
      </w:r>
    </w:p>
    <w:p w14:paraId="6C52BD1A">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zh-CN" w:bidi="ar-SA"/>
        </w:rPr>
      </w:pPr>
      <w:r>
        <w:rPr>
          <w:rFonts w:hint="eastAsia" w:ascii="仿宋" w:hAnsi="仿宋" w:eastAsia="仿宋" w:cs="仿宋"/>
          <w:b/>
          <w:bCs/>
          <w:snapToGrid w:val="0"/>
          <w:color w:val="auto"/>
          <w:kern w:val="2"/>
          <w:sz w:val="28"/>
          <w:szCs w:val="28"/>
          <w:lang w:val="en-US" w:eastAsia="zh-CN" w:bidi="ar-SA"/>
        </w:rPr>
        <w:t>第三节、管线摸查</w:t>
      </w:r>
    </w:p>
    <w:p w14:paraId="723E596C">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1、在施工准备阶段，根据管线会议了解的管线特征和情况，应走访当地群众和有关机构，核对管线分布图，了解是否还有其他管线，并组织人员将各种管线的功能、平面位置、埋深、管线走向等管线特征绘制于施工平面图上，形成管线分布图，详细记录各管线的产权单位、联系人、联系电话、意外处理措施，并会知参加施工的有关人员。</w:t>
      </w:r>
    </w:p>
    <w:p w14:paraId="735FD561">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2、进场施工前，对施工现场进行详细的调查，摸查，做好地下管线、文物的保护工作。</w:t>
      </w:r>
    </w:p>
    <w:p w14:paraId="559E11F2">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3、动工前，项目经理应组织工程施工人员进行技术安全交底会，将各种管线的详细情况对施工班组人员、机械作业人员做详细说明，并针对管线的保护措施进行交底。施工工人、机械作业人员应服从工地管理人员的安排，有责任向有关人员详细了解地下管线的情况。</w:t>
      </w:r>
    </w:p>
    <w:p w14:paraId="14636B1F">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4、施工准备阶段或该分项工程动工前，还应根据了解到的各种管线的特征结合本部分的施工范围进行。</w:t>
      </w:r>
    </w:p>
    <w:p w14:paraId="431F4AA3">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(1)管线探测仪探测:</w:t>
      </w:r>
    </w:p>
    <w:p w14:paraId="4456CCE7">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(2)人工开挖探坑，详细、彻底的印证和明确各种管线的特性特征，在管线分布图上进行标注，同时采取可行措施在施工现场子以标注明示。特别是在机械挖土前，必须将可能预见的在动工范围内的各种管线用人工挖坑探明，否则不得使用机械作业。开挖前必须做好原有管道(管线)得探测和迁移工作，进行所施工部位的管线调查。查清有无地下管线通过，先用管线探测仪进行探测，对仪器探测出有管线的部位或根据调查资料显示可能有管线的位置再利用人工开挖探槽进一步证明，坑应比沟槽深0.5m。在开挖探槽时，由人工用铁开挖，以免损伤管线。如有异常需书面报告监理工程师，经处理方案批准后方可施工，以确保不损坏管线。</w:t>
      </w:r>
    </w:p>
    <w:p w14:paraId="22CDF9D2">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5、施工管理人员是现场管线保护的直接责任人，发生事故应按照有关规定及时上报，同时应采取有力措施协助有关单位做好保护和抢救工作，防止发生人员伤亡和制止事故的扩大。事故的处理应按照“三不放过”的原则和公司《程序文件》的要求进行。</w:t>
      </w:r>
    </w:p>
    <w:p w14:paraId="4BC690BF">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6、在已探明各种管线结构的上下、左右分别50cm、50cm、100cm、100cm范围禁止采用机械作业。</w:t>
      </w:r>
    </w:p>
    <w:p w14:paraId="26D75AF9">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7、积极配合采购人、监理工程师和管线单位做好管线的迁移工作(如需迁移)，为其提供必要的服务，</w:t>
      </w:r>
    </w:p>
    <w:p w14:paraId="3C069A83">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8、凡违反上述规定而造成施工的，将按情况的轻重追究有关责任人员的责任。</w:t>
      </w:r>
    </w:p>
    <w:p w14:paraId="77217A93">
      <w:pPr>
        <w:keepNext w:val="0"/>
        <w:keepLines w:val="0"/>
        <w:pageBreakBefore w:val="0"/>
        <w:widowControl w:val="0"/>
        <w:kinsoku/>
        <w:wordWrap/>
        <w:overflowPunct/>
        <w:topLinePunct w:val="0"/>
        <w:autoSpaceDE/>
        <w:autoSpaceDN/>
        <w:bidi w:val="0"/>
        <w:adjustRightInd/>
        <w:snapToGrid/>
        <w:spacing w:line="600" w:lineRule="auto"/>
        <w:ind w:firstLine="560" w:firstLineChars="200"/>
        <w:jc w:val="left"/>
        <w:textAlignment w:val="auto"/>
        <w:rPr>
          <w:rFonts w:hint="eastAsia" w:ascii="仿宋" w:hAnsi="仿宋" w:eastAsia="仿宋" w:cs="仿宋"/>
          <w:snapToGrid w:val="0"/>
          <w:color w:val="auto"/>
          <w:kern w:val="0"/>
          <w:sz w:val="28"/>
          <w:szCs w:val="28"/>
          <w:lang w:val="en-US" w:eastAsia="zh-CN"/>
        </w:rPr>
      </w:pPr>
      <w:r>
        <w:rPr>
          <w:rFonts w:hint="eastAsia" w:ascii="仿宋" w:hAnsi="仿宋" w:eastAsia="仿宋" w:cs="仿宋"/>
          <w:snapToGrid w:val="0"/>
          <w:color w:val="auto"/>
          <w:kern w:val="0"/>
          <w:sz w:val="28"/>
          <w:szCs w:val="28"/>
          <w:lang w:val="en-US" w:eastAsia="zh-CN"/>
        </w:rPr>
        <w:t>9、在开挖过程中，如发现管线及时报告管线有关部门，会同他们一起进行管线迁改或管线悬吊，不得自行处理。对一些特种管线应保守秘密，不得泄漏。</w:t>
      </w:r>
    </w:p>
    <w:bookmarkEnd w:id="53"/>
    <w:bookmarkEnd w:id="54"/>
    <w:bookmarkEnd w:id="55"/>
    <w:p w14:paraId="7E68B035">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0"/>
          <w:sz w:val="28"/>
          <w:szCs w:val="28"/>
          <w:lang w:val="en-US" w:eastAsia="en-US" w:bidi="ar-SA"/>
        </w:rPr>
      </w:pPr>
      <w:bookmarkStart w:id="57" w:name="_Toc299795218"/>
      <w:bookmarkStart w:id="58" w:name="_Toc299793053"/>
      <w:bookmarkStart w:id="59" w:name="_Toc299792873"/>
      <w:bookmarkStart w:id="60" w:name="_Toc299795332"/>
      <w:bookmarkStart w:id="61" w:name="_Toc44142052"/>
      <w:bookmarkStart w:id="62" w:name="_Toc433710432"/>
      <w:r>
        <w:rPr>
          <w:rFonts w:hint="eastAsia" w:ascii="仿宋" w:hAnsi="仿宋" w:eastAsia="仿宋" w:cs="仿宋"/>
          <w:b/>
          <w:bCs/>
          <w:snapToGrid w:val="0"/>
          <w:color w:val="auto"/>
          <w:kern w:val="0"/>
          <w:sz w:val="28"/>
          <w:szCs w:val="28"/>
          <w:lang w:val="en-US" w:eastAsia="en-US" w:bidi="ar-SA"/>
        </w:rPr>
        <w:t>第</w:t>
      </w:r>
      <w:r>
        <w:rPr>
          <w:rFonts w:hint="eastAsia" w:ascii="仿宋" w:hAnsi="仿宋" w:eastAsia="仿宋" w:cs="仿宋"/>
          <w:b/>
          <w:bCs/>
          <w:snapToGrid w:val="0"/>
          <w:color w:val="auto"/>
          <w:kern w:val="0"/>
          <w:sz w:val="28"/>
          <w:szCs w:val="28"/>
          <w:lang w:val="en-US" w:eastAsia="zh-CN" w:bidi="ar-SA"/>
        </w:rPr>
        <w:t>四</w:t>
      </w:r>
      <w:r>
        <w:rPr>
          <w:rFonts w:hint="eastAsia" w:ascii="仿宋" w:hAnsi="仿宋" w:eastAsia="仿宋" w:cs="仿宋"/>
          <w:b/>
          <w:bCs/>
          <w:snapToGrid w:val="0"/>
          <w:color w:val="auto"/>
          <w:kern w:val="0"/>
          <w:sz w:val="28"/>
          <w:szCs w:val="28"/>
          <w:lang w:val="en-US" w:eastAsia="en-US" w:bidi="ar-SA"/>
        </w:rPr>
        <w:t>节、实施范围</w:t>
      </w:r>
    </w:p>
    <w:p w14:paraId="11349F0E">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1</w:t>
      </w:r>
      <w:r>
        <w:rPr>
          <w:rFonts w:hint="eastAsia" w:ascii="仿宋" w:hAnsi="仿宋" w:eastAsia="仿宋" w:cs="仿宋"/>
          <w:color w:val="auto"/>
          <w:kern w:val="0"/>
          <w:sz w:val="28"/>
          <w:szCs w:val="20"/>
          <w:lang w:eastAsia="zh-CN"/>
        </w:rPr>
        <w:t>、</w:t>
      </w:r>
      <w:r>
        <w:rPr>
          <w:rFonts w:hint="eastAsia" w:ascii="仿宋" w:hAnsi="仿宋" w:eastAsia="仿宋" w:cs="仿宋"/>
          <w:color w:val="auto"/>
          <w:kern w:val="0"/>
          <w:sz w:val="28"/>
          <w:szCs w:val="20"/>
        </w:rPr>
        <w:t>清表工程，包含现有渣土开挖、渣土运输等:</w:t>
      </w:r>
    </w:p>
    <w:p w14:paraId="66DEC57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rPr>
        <w:t>2</w:t>
      </w:r>
      <w:r>
        <w:rPr>
          <w:rFonts w:hint="eastAsia" w:ascii="仿宋" w:hAnsi="仿宋" w:eastAsia="仿宋" w:cs="仿宋"/>
          <w:color w:val="auto"/>
          <w:kern w:val="0"/>
          <w:sz w:val="28"/>
          <w:szCs w:val="20"/>
          <w:lang w:eastAsia="zh-CN"/>
        </w:rPr>
        <w:t>、</w:t>
      </w:r>
      <w:r>
        <w:rPr>
          <w:rFonts w:hint="eastAsia" w:ascii="仿宋" w:hAnsi="仿宋" w:eastAsia="仿宋" w:cs="仿宋"/>
          <w:color w:val="auto"/>
          <w:kern w:val="0"/>
          <w:sz w:val="28"/>
          <w:szCs w:val="20"/>
        </w:rPr>
        <w:t>渣土开挖工程，包含清除地面障碍物、外运、内倒、平整地面</w:t>
      </w:r>
      <w:r>
        <w:rPr>
          <w:rFonts w:hint="eastAsia" w:ascii="仿宋" w:hAnsi="仿宋" w:eastAsia="仿宋" w:cs="仿宋"/>
          <w:color w:val="auto"/>
          <w:kern w:val="0"/>
          <w:sz w:val="28"/>
          <w:szCs w:val="20"/>
          <w:lang w:eastAsia="zh-CN"/>
        </w:rPr>
        <w:t>。</w:t>
      </w:r>
    </w:p>
    <w:p w14:paraId="3C2642C6">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3</w:t>
      </w:r>
      <w:r>
        <w:rPr>
          <w:rFonts w:hint="eastAsia" w:ascii="仿宋" w:hAnsi="仿宋" w:eastAsia="仿宋" w:cs="仿宋"/>
          <w:color w:val="auto"/>
          <w:kern w:val="0"/>
          <w:sz w:val="28"/>
          <w:szCs w:val="20"/>
          <w:lang w:eastAsia="zh-CN"/>
        </w:rPr>
        <w:t>、</w:t>
      </w:r>
      <w:r>
        <w:rPr>
          <w:rFonts w:hint="eastAsia" w:ascii="仿宋" w:hAnsi="仿宋" w:eastAsia="仿宋" w:cs="仿宋"/>
          <w:color w:val="auto"/>
          <w:kern w:val="0"/>
          <w:sz w:val="28"/>
          <w:szCs w:val="20"/>
        </w:rPr>
        <w:t>施工道路硬化及大门、洗车台等冲洗设备及沉淀池施工、扬尘检测系统安装、喷雾系统安装、裸露地表防护网遮盖等;</w:t>
      </w:r>
    </w:p>
    <w:p w14:paraId="4C9BE8AF">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4</w:t>
      </w:r>
      <w:r>
        <w:rPr>
          <w:rFonts w:hint="eastAsia" w:ascii="仿宋" w:hAnsi="仿宋" w:eastAsia="仿宋" w:cs="仿宋"/>
          <w:color w:val="auto"/>
          <w:kern w:val="0"/>
          <w:sz w:val="28"/>
          <w:szCs w:val="20"/>
          <w:lang w:eastAsia="zh-CN"/>
        </w:rPr>
        <w:t>、</w:t>
      </w:r>
      <w:r>
        <w:rPr>
          <w:rFonts w:hint="eastAsia" w:ascii="仿宋" w:hAnsi="仿宋" w:eastAsia="仿宋" w:cs="仿宋"/>
          <w:color w:val="auto"/>
          <w:kern w:val="0"/>
          <w:sz w:val="28"/>
          <w:szCs w:val="20"/>
        </w:rPr>
        <w:t>渣土运输工程中涉及的所有政府手续办理、渣土排放费缴纳等所需完成的一切工作。</w:t>
      </w:r>
    </w:p>
    <w:p w14:paraId="6DEF0DCC">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5</w:t>
      </w:r>
      <w:r>
        <w:rPr>
          <w:rFonts w:hint="eastAsia" w:ascii="仿宋" w:hAnsi="仿宋" w:eastAsia="仿宋" w:cs="仿宋"/>
          <w:color w:val="auto"/>
          <w:kern w:val="0"/>
          <w:sz w:val="28"/>
          <w:szCs w:val="20"/>
          <w:lang w:eastAsia="zh-CN"/>
        </w:rPr>
        <w:t>、</w:t>
      </w:r>
      <w:r>
        <w:rPr>
          <w:rFonts w:hint="eastAsia" w:ascii="仿宋" w:hAnsi="仿宋" w:eastAsia="仿宋" w:cs="仿宋"/>
          <w:color w:val="auto"/>
          <w:kern w:val="0"/>
          <w:sz w:val="28"/>
          <w:szCs w:val="20"/>
        </w:rPr>
        <w:t>场地围栏施工。</w:t>
      </w:r>
    </w:p>
    <w:p w14:paraId="1850ECAA">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0"/>
          <w:sz w:val="28"/>
          <w:szCs w:val="28"/>
          <w:lang w:val="en-US" w:eastAsia="en-US" w:bidi="ar-SA"/>
        </w:rPr>
      </w:pPr>
      <w:r>
        <w:rPr>
          <w:rFonts w:hint="eastAsia" w:ascii="仿宋" w:hAnsi="仿宋" w:eastAsia="仿宋" w:cs="仿宋"/>
          <w:b/>
          <w:bCs/>
          <w:snapToGrid w:val="0"/>
          <w:color w:val="auto"/>
          <w:kern w:val="0"/>
          <w:sz w:val="28"/>
          <w:szCs w:val="28"/>
          <w:lang w:val="en-US" w:eastAsia="en-US" w:bidi="ar-SA"/>
        </w:rPr>
        <w:t>第</w:t>
      </w:r>
      <w:r>
        <w:rPr>
          <w:rFonts w:hint="eastAsia" w:ascii="仿宋" w:hAnsi="仿宋" w:eastAsia="仿宋" w:cs="仿宋"/>
          <w:b/>
          <w:bCs/>
          <w:snapToGrid w:val="0"/>
          <w:color w:val="auto"/>
          <w:kern w:val="0"/>
          <w:sz w:val="28"/>
          <w:szCs w:val="28"/>
          <w:lang w:val="en-US" w:eastAsia="zh-CN" w:bidi="ar-SA"/>
        </w:rPr>
        <w:t>五</w:t>
      </w:r>
      <w:r>
        <w:rPr>
          <w:rFonts w:hint="eastAsia" w:ascii="仿宋" w:hAnsi="仿宋" w:eastAsia="仿宋" w:cs="仿宋"/>
          <w:b/>
          <w:bCs/>
          <w:snapToGrid w:val="0"/>
          <w:color w:val="auto"/>
          <w:kern w:val="0"/>
          <w:sz w:val="28"/>
          <w:szCs w:val="28"/>
          <w:lang w:val="en-US" w:eastAsia="en-US" w:bidi="ar-SA"/>
        </w:rPr>
        <w:t>节、工作流程步骤</w:t>
      </w:r>
    </w:p>
    <w:p w14:paraId="4778154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rPr>
        <w:t>施工准备→现场勘察一场地围栏施工一清除地面障碍物一标定整平范围一测量标高→平整渣土→渣土及垃圾清运一施工现场清理及扬尘</w:t>
      </w:r>
      <w:r>
        <w:rPr>
          <w:rFonts w:hint="eastAsia" w:ascii="仿宋" w:hAnsi="仿宋" w:eastAsia="仿宋" w:cs="仿宋"/>
          <w:color w:val="auto"/>
          <w:kern w:val="0"/>
          <w:sz w:val="28"/>
          <w:szCs w:val="20"/>
          <w:lang w:eastAsia="zh-CN"/>
        </w:rPr>
        <w:t>。</w:t>
      </w:r>
    </w:p>
    <w:p w14:paraId="2C3F40C7">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0"/>
          <w:sz w:val="28"/>
          <w:szCs w:val="28"/>
          <w:lang w:val="en-US" w:eastAsia="en-US" w:bidi="ar-SA"/>
        </w:rPr>
      </w:pPr>
      <w:r>
        <w:rPr>
          <w:rFonts w:hint="eastAsia" w:ascii="仿宋" w:hAnsi="仿宋" w:eastAsia="仿宋" w:cs="仿宋"/>
          <w:b/>
          <w:bCs/>
          <w:snapToGrid w:val="0"/>
          <w:color w:val="auto"/>
          <w:kern w:val="0"/>
          <w:sz w:val="28"/>
          <w:szCs w:val="28"/>
          <w:lang w:val="en-US" w:eastAsia="en-US" w:bidi="ar-SA"/>
        </w:rPr>
        <w:t>第</w:t>
      </w:r>
      <w:r>
        <w:rPr>
          <w:rFonts w:hint="eastAsia" w:ascii="仿宋" w:hAnsi="仿宋" w:eastAsia="仿宋" w:cs="仿宋"/>
          <w:b/>
          <w:bCs/>
          <w:snapToGrid w:val="0"/>
          <w:color w:val="auto"/>
          <w:kern w:val="0"/>
          <w:sz w:val="28"/>
          <w:szCs w:val="28"/>
          <w:lang w:val="en-US" w:eastAsia="zh-CN" w:bidi="ar-SA"/>
        </w:rPr>
        <w:t>六</w:t>
      </w:r>
      <w:r>
        <w:rPr>
          <w:rFonts w:hint="eastAsia" w:ascii="仿宋" w:hAnsi="仿宋" w:eastAsia="仿宋" w:cs="仿宋"/>
          <w:b/>
          <w:bCs/>
          <w:snapToGrid w:val="0"/>
          <w:color w:val="auto"/>
          <w:kern w:val="0"/>
          <w:sz w:val="28"/>
          <w:szCs w:val="28"/>
          <w:lang w:val="en-US" w:eastAsia="en-US" w:bidi="ar-SA"/>
        </w:rPr>
        <w:t>节、工作分工</w:t>
      </w:r>
    </w:p>
    <w:p w14:paraId="6C3E11DC">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一、项目管理机构人员职责</w:t>
      </w:r>
    </w:p>
    <w:p w14:paraId="214E4DBB">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1、项目经理和技术负责人:</w:t>
      </w:r>
    </w:p>
    <w:p w14:paraId="737CF5D4">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1.1</w:t>
      </w:r>
      <w:r>
        <w:rPr>
          <w:rFonts w:hint="eastAsia" w:ascii="仿宋" w:hAnsi="仿宋" w:eastAsia="仿宋" w:cs="仿宋"/>
          <w:color w:val="auto"/>
          <w:kern w:val="0"/>
          <w:sz w:val="28"/>
          <w:szCs w:val="20"/>
          <w:lang w:eastAsia="zh-CN"/>
        </w:rPr>
        <w:t>、</w:t>
      </w:r>
      <w:r>
        <w:rPr>
          <w:rFonts w:hint="eastAsia" w:ascii="仿宋" w:hAnsi="仿宋" w:eastAsia="仿宋" w:cs="仿宋"/>
          <w:color w:val="auto"/>
          <w:kern w:val="0"/>
          <w:sz w:val="28"/>
          <w:szCs w:val="20"/>
        </w:rPr>
        <w:t>项目经理负责内外总协调，对工程进度计划和工程实际进度进行控制，并对工程质量、现场安全、劳动力的调配、物资购买、租赁及财务等负全面责任，保证工程项目的顺利完成，并负责工程的竣工验收和结算工作。</w:t>
      </w:r>
    </w:p>
    <w:p w14:paraId="3FF8BB8C">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1.2</w:t>
      </w:r>
      <w:r>
        <w:rPr>
          <w:rFonts w:hint="eastAsia" w:ascii="仿宋" w:hAnsi="仿宋" w:eastAsia="仿宋" w:cs="仿宋"/>
          <w:color w:val="auto"/>
          <w:kern w:val="0"/>
          <w:sz w:val="28"/>
          <w:szCs w:val="20"/>
          <w:lang w:eastAsia="zh-CN"/>
        </w:rPr>
        <w:t>、</w:t>
      </w:r>
      <w:r>
        <w:rPr>
          <w:rFonts w:hint="eastAsia" w:ascii="仿宋" w:hAnsi="仿宋" w:eastAsia="仿宋" w:cs="仿宋"/>
          <w:color w:val="auto"/>
          <w:kern w:val="0"/>
          <w:sz w:val="28"/>
          <w:szCs w:val="20"/>
        </w:rPr>
        <w:t>技术负责人负责同建设单位、设计单位、监理单位的紧密配合在工程开工前编制施工组织设计并经报批;根据现场的实际情况和周围的环境，制定科学合理的施工进度计划;组织和协调各工种的工作，保障工程进度计划的实施;解决施工中遇到的技术难点;制定预控措施，对工程质量负责。</w:t>
      </w:r>
    </w:p>
    <w:p w14:paraId="4BAD401C">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1.3</w:t>
      </w:r>
      <w:r>
        <w:rPr>
          <w:rFonts w:hint="eastAsia" w:ascii="仿宋" w:hAnsi="仿宋" w:eastAsia="仿宋" w:cs="仿宋"/>
          <w:color w:val="auto"/>
          <w:kern w:val="0"/>
          <w:sz w:val="28"/>
          <w:szCs w:val="20"/>
          <w:lang w:eastAsia="zh-CN"/>
        </w:rPr>
        <w:t>、</w:t>
      </w:r>
      <w:r>
        <w:rPr>
          <w:rFonts w:hint="eastAsia" w:ascii="仿宋" w:hAnsi="仿宋" w:eastAsia="仿宋" w:cs="仿宋"/>
          <w:color w:val="auto"/>
          <w:kern w:val="0"/>
          <w:sz w:val="28"/>
          <w:szCs w:val="20"/>
        </w:rPr>
        <w:t>项目经理部以施工组织设计总体进度计划为主线，对每个分部工程再制定详细的进度计划，同时要及时编制出季进度、月进度、周进度计划，施工中必须以分进度计划来保证总进度，出现偏差时及时调整与进度有关的环境因素，如:材料、机械、人员等。</w:t>
      </w:r>
    </w:p>
    <w:p w14:paraId="184B19C6">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2、项目经理部根据进度计划，部署、协调各专业施工队伍，确定各专业施工队伍的进场计划，各种材料、机械供应计划等。各专业之间合理衔接，杜绝窝工现象，以保证施工进度。</w:t>
      </w:r>
    </w:p>
    <w:p w14:paraId="6B387F38">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3、积极组织货源，加强市场信息收集工作，及时采购，保证材料按期、按质、按量进场。</w:t>
      </w:r>
    </w:p>
    <w:p w14:paraId="0FE28D5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rPr>
        <w:t>4、项目部对施工进度随时监控，当发现实际进度与计划进度不符时，及时分析原因并进行调整</w:t>
      </w:r>
      <w:r>
        <w:rPr>
          <w:rFonts w:hint="eastAsia" w:ascii="仿宋" w:hAnsi="仿宋" w:eastAsia="仿宋" w:cs="仿宋"/>
          <w:color w:val="auto"/>
          <w:kern w:val="0"/>
          <w:sz w:val="28"/>
          <w:szCs w:val="20"/>
          <w:lang w:eastAsia="zh-CN"/>
        </w:rPr>
        <w:t>。</w:t>
      </w:r>
    </w:p>
    <w:p w14:paraId="73FED5E9">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5、项目经理为主要负责人，定期组织召开生产会议，对工程进度中出现的问题及时分析解决，确保进度计划的实现。</w:t>
      </w:r>
    </w:p>
    <w:p w14:paraId="7712AFE8">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6、加强图纸会审工作，工程施工前由项目部有关施工人员及各专业施工技术人员进行图纸会审，及时了解各专业图纸之间是否有相互矛盾之处，以便在设计交底时予以解决，尽量减少施工中存在的各专业之间的相互影响现象。</w:t>
      </w:r>
    </w:p>
    <w:p w14:paraId="630280BD">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7、各专业施工队伍进场时，项目部要对其进行技术交底及施工进度计划的交底和职工安全教育，各工序之间的穿插由项目经理部统一安排、协调，包括其进出场时间、作业时间、工期要求等必须满足项目部的要求。</w:t>
      </w:r>
    </w:p>
    <w:p w14:paraId="126D249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rPr>
        <w:t>8、施工时应为各专业的施工创造良好的条件，各专业之间建立自检、互检、交接检制度，避免因质量等问题造成相互影响和返工现象</w:t>
      </w:r>
      <w:r>
        <w:rPr>
          <w:rFonts w:hint="eastAsia" w:ascii="仿宋" w:hAnsi="仿宋" w:eastAsia="仿宋" w:cs="仿宋"/>
          <w:color w:val="auto"/>
          <w:kern w:val="0"/>
          <w:sz w:val="28"/>
          <w:szCs w:val="20"/>
          <w:lang w:eastAsia="zh-CN"/>
        </w:rPr>
        <w:t>。</w:t>
      </w:r>
    </w:p>
    <w:p w14:paraId="52CAED19">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9、对施工图中存在的问题，应及时向建设单位、监理汇报，并向设计提出建议，征得设计人员同意，办理设计变更后方可进行施工。</w:t>
      </w:r>
    </w:p>
    <w:p w14:paraId="73981483">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10、施工阶段会同建设单位、监理、施工方按照进度与整体效果的要求，进行验收、各分部工程验收、工程质量验收、竣工验收等。</w:t>
      </w:r>
    </w:p>
    <w:p w14:paraId="1312A0D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rPr>
        <w:t>11、在施工过程中，严格按照经建设单位及监理工程师批准的“施工组织设计”进行施工质量管理。在班组“自检”和质量部门“专检的基础上，接受监理工程师的验收和检查，并按照监理要求子以整改</w:t>
      </w:r>
      <w:r>
        <w:rPr>
          <w:rFonts w:hint="eastAsia" w:ascii="仿宋" w:hAnsi="仿宋" w:eastAsia="仿宋" w:cs="仿宋"/>
          <w:color w:val="auto"/>
          <w:kern w:val="0"/>
          <w:sz w:val="28"/>
          <w:szCs w:val="20"/>
          <w:lang w:eastAsia="zh-CN"/>
        </w:rPr>
        <w:t>。</w:t>
      </w:r>
    </w:p>
    <w:p w14:paraId="334414E3">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12、贯彻质量控制、检查、管理制度，对各施工班组作业情况子以严格检查，确保产品达到优良。</w:t>
      </w:r>
    </w:p>
    <w:p w14:paraId="6D1C2056">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13、所有进入现场使用的成品、半成品、设备、材料、器具均主动向监理工程师提交产品合格证，使用前需进行物理、化学检测及室内环境污染检测的材料，主动递交检测结果报告。</w:t>
      </w:r>
    </w:p>
    <w:p w14:paraId="21286926">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14、按部位或分项对各工序质量进行检查，严格执行“上道工序不合格，下道工序不施工”的准则。</w:t>
      </w:r>
    </w:p>
    <w:p w14:paraId="6CA6B349">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二、渣土开挖队职责</w:t>
      </w:r>
    </w:p>
    <w:p w14:paraId="369557C6">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主要负责勘探现场，并对现场地表障碍物清除，将清除的垃圾及渣土进行装车，清理现场。</w:t>
      </w:r>
    </w:p>
    <w:p w14:paraId="2C62B574">
      <w:pPr>
        <w:spacing w:line="600" w:lineRule="auto"/>
        <w:ind w:firstLine="560" w:firstLineChars="200"/>
        <w:rPr>
          <w:rFonts w:hint="eastAsia" w:ascii="仿宋" w:hAnsi="仿宋" w:eastAsia="仿宋" w:cs="仿宋"/>
          <w:color w:val="auto"/>
          <w:kern w:val="0"/>
          <w:sz w:val="28"/>
          <w:szCs w:val="20"/>
        </w:rPr>
      </w:pPr>
      <w:r>
        <w:rPr>
          <w:rFonts w:hint="eastAsia" w:ascii="仿宋" w:hAnsi="仿宋" w:eastAsia="仿宋" w:cs="仿宋"/>
          <w:color w:val="auto"/>
          <w:kern w:val="0"/>
          <w:sz w:val="28"/>
          <w:szCs w:val="20"/>
        </w:rPr>
        <w:t>三、渣土运输对职责</w:t>
      </w:r>
    </w:p>
    <w:p w14:paraId="03739A0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rPr>
        <w:t>主要负责渣土运输及运输过程中的渣土抛洒滴漏及预防扬尘等工</w:t>
      </w:r>
      <w:r>
        <w:rPr>
          <w:rFonts w:hint="eastAsia" w:ascii="仿宋" w:hAnsi="仿宋" w:eastAsia="仿宋" w:cs="仿宋"/>
          <w:color w:val="auto"/>
          <w:kern w:val="0"/>
          <w:sz w:val="28"/>
          <w:szCs w:val="20"/>
          <w:lang w:eastAsia="zh-CN"/>
        </w:rPr>
        <w:t>。</w:t>
      </w:r>
    </w:p>
    <w:p w14:paraId="120BB387">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0"/>
          <w:sz w:val="28"/>
          <w:szCs w:val="28"/>
          <w:lang w:val="en-US" w:eastAsia="zh-CN" w:bidi="ar-SA"/>
        </w:rPr>
      </w:pPr>
      <w:r>
        <w:rPr>
          <w:rFonts w:hint="eastAsia" w:ascii="仿宋" w:hAnsi="仿宋" w:eastAsia="仿宋" w:cs="仿宋"/>
          <w:b/>
          <w:bCs/>
          <w:snapToGrid w:val="0"/>
          <w:color w:val="auto"/>
          <w:kern w:val="0"/>
          <w:sz w:val="28"/>
          <w:szCs w:val="28"/>
          <w:lang w:val="en-US" w:eastAsia="zh-CN" w:bidi="ar-SA"/>
        </w:rPr>
        <w:t>第七节、场地围栏施工</w:t>
      </w:r>
    </w:p>
    <w:p w14:paraId="627B5A3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1、施工方法</w:t>
      </w:r>
    </w:p>
    <w:p w14:paraId="6EE4A41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1.1、基础的制作要求</w:t>
      </w:r>
    </w:p>
    <w:p w14:paraId="67C7310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1.1.1、根据设计图纸用全站仪定位放样，定出基坑位置。</w:t>
      </w:r>
    </w:p>
    <w:p w14:paraId="4ECCC94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val="en-US" w:eastAsia="zh-CN"/>
        </w:rPr>
        <w:t>2</w:t>
      </w:r>
      <w:r>
        <w:rPr>
          <w:rFonts w:hint="eastAsia" w:ascii="仿宋" w:hAnsi="仿宋" w:eastAsia="仿宋" w:cs="仿宋"/>
          <w:color w:val="auto"/>
          <w:kern w:val="0"/>
          <w:sz w:val="28"/>
          <w:szCs w:val="20"/>
          <w:lang w:eastAsia="zh-CN"/>
        </w:rPr>
        <w:t>、施工程序</w:t>
      </w:r>
    </w:p>
    <w:p w14:paraId="51D0B287">
      <w:pPr>
        <w:spacing w:line="600" w:lineRule="auto"/>
        <w:ind w:firstLine="560" w:firstLineChars="200"/>
        <w:rPr>
          <w:rFonts w:hint="eastAsia" w:ascii="仿宋" w:hAnsi="仿宋" w:eastAsia="仿宋" w:cs="仿宋"/>
          <w:color w:val="auto"/>
          <w:kern w:val="0"/>
          <w:sz w:val="28"/>
          <w:szCs w:val="20"/>
          <w:lang w:val="en-US" w:eastAsia="zh-CN"/>
        </w:rPr>
      </w:pPr>
      <w:r>
        <w:rPr>
          <w:rFonts w:hint="eastAsia" w:ascii="仿宋" w:hAnsi="仿宋" w:eastAsia="仿宋" w:cs="仿宋"/>
          <w:color w:val="auto"/>
          <w:kern w:val="0"/>
          <w:sz w:val="28"/>
          <w:szCs w:val="20"/>
          <w:lang w:eastAsia="zh-CN"/>
        </w:rPr>
        <w:t>现场勘察→清除地面障碍物→标定整平范围→设置水准基点→设置方格网、测量标高→平整土方→场地碾压→验收→计算土方挖填工程量。</w:t>
      </w:r>
    </w:p>
    <w:p w14:paraId="42667E8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val="en-US" w:eastAsia="zh-CN"/>
        </w:rPr>
        <w:t>3</w:t>
      </w:r>
      <w:r>
        <w:rPr>
          <w:rFonts w:hint="eastAsia" w:ascii="仿宋" w:hAnsi="仿宋" w:eastAsia="仿宋" w:cs="仿宋"/>
          <w:color w:val="auto"/>
          <w:kern w:val="0"/>
          <w:sz w:val="28"/>
          <w:szCs w:val="20"/>
          <w:lang w:eastAsia="zh-CN"/>
        </w:rPr>
        <w:t>、现场勘察</w:t>
      </w:r>
    </w:p>
    <w:p w14:paraId="6253A88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场地平整施工前，施工技术人员应先到现场进行勘察，了解场地地形、地貌和周围环境，根据总平面布置图及竖向规划图，确定出平整场地的范围</w:t>
      </w:r>
      <w:r>
        <w:rPr>
          <w:rFonts w:hint="eastAsia" w:ascii="仿宋" w:hAnsi="仿宋" w:eastAsia="仿宋" w:cs="仿宋"/>
          <w:color w:val="auto"/>
          <w:kern w:val="0"/>
          <w:sz w:val="28"/>
          <w:szCs w:val="20"/>
          <w:lang w:eastAsia="zh-CN"/>
        </w:rPr>
        <w:t>。</w:t>
      </w:r>
    </w:p>
    <w:p w14:paraId="59A9B9B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val="en-US" w:eastAsia="zh-CN"/>
        </w:rPr>
        <w:t>4</w:t>
      </w:r>
      <w:r>
        <w:rPr>
          <w:rFonts w:hint="eastAsia" w:ascii="仿宋" w:hAnsi="仿宋" w:eastAsia="仿宋" w:cs="仿宋"/>
          <w:color w:val="auto"/>
          <w:kern w:val="0"/>
          <w:sz w:val="28"/>
          <w:szCs w:val="20"/>
          <w:lang w:eastAsia="zh-CN"/>
        </w:rPr>
        <w:t>、清除地面障碍物</w:t>
      </w:r>
    </w:p>
    <w:p w14:paraId="65D690B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在场地平整前，先清除地上树木、建筑垃圾。边施工边将覆盖的绿网揭开，土方施工易选择在无风的时间进行，并从水准点引进基准标高做为土方量计算的基点。</w:t>
      </w:r>
    </w:p>
    <w:p w14:paraId="08B6BCE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val="en-US" w:eastAsia="zh-CN"/>
        </w:rPr>
        <w:t>5</w:t>
      </w:r>
      <w:r>
        <w:rPr>
          <w:rFonts w:hint="eastAsia" w:ascii="仿宋" w:hAnsi="仿宋" w:eastAsia="仿宋" w:cs="仿宋"/>
          <w:color w:val="auto"/>
          <w:kern w:val="0"/>
          <w:sz w:val="28"/>
          <w:szCs w:val="20"/>
          <w:lang w:eastAsia="zh-CN"/>
        </w:rPr>
        <w:t>、施工测量</w:t>
      </w:r>
    </w:p>
    <w:p w14:paraId="33ADA2C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施工区域应布置坐标方格控制网。布置坐标方格网原则：先整体，后局部，高精度控制低精度。控制点要选在约束度大、安全、易保护和通视条件好的位置。首级控点应分布均匀。</w:t>
      </w:r>
    </w:p>
    <w:p w14:paraId="0003514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平面控制采用两次布设，即首级控制和加密控制。一级导线控制点既控制平面又控制高程。</w:t>
      </w:r>
    </w:p>
    <w:p w14:paraId="3179F84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val="en-US" w:eastAsia="zh-CN"/>
        </w:rPr>
        <w:t>6</w:t>
      </w:r>
      <w:r>
        <w:rPr>
          <w:rFonts w:hint="eastAsia" w:ascii="仿宋" w:hAnsi="仿宋" w:eastAsia="仿宋" w:cs="仿宋"/>
          <w:color w:val="auto"/>
          <w:kern w:val="0"/>
          <w:sz w:val="28"/>
          <w:szCs w:val="20"/>
          <w:lang w:eastAsia="zh-CN"/>
        </w:rPr>
        <w:t>、场地平整</w:t>
      </w:r>
    </w:p>
    <w:p w14:paraId="04086A7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场地平整采用挖掘机与装载机结合的方法，挖掘机装土、自卸汽车运土或装载机运土的方式，将所有挖出的土方集中成堆，然后用反铲挖掘机装土，用自卸汽车将土运到低于施工标高的地方，并用装载机摊平，碾压平整，最后用压路机压实。回填部位土方尽量从场地内调配，场地内缺少土方从外调运。</w:t>
      </w:r>
    </w:p>
    <w:p w14:paraId="1E8AB93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val="en-US" w:eastAsia="zh-CN"/>
        </w:rPr>
        <w:t>7</w:t>
      </w:r>
      <w:r>
        <w:rPr>
          <w:rFonts w:hint="eastAsia" w:ascii="仿宋" w:hAnsi="仿宋" w:eastAsia="仿宋" w:cs="仿宋"/>
          <w:color w:val="auto"/>
          <w:kern w:val="0"/>
          <w:sz w:val="28"/>
          <w:szCs w:val="20"/>
          <w:lang w:eastAsia="zh-CN"/>
        </w:rPr>
        <w:t>、现场土方平衡</w:t>
      </w:r>
    </w:p>
    <w:p w14:paraId="376A717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利用方格网计算出土方的施工标高，挖方面积、填方面积，挖填区土方量，并考虑各种变动因素，进行调整，对土方进行综合平衡和调配。使土方运输量和运输成本最低。</w:t>
      </w:r>
    </w:p>
    <w:p w14:paraId="63ADDA9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(1)在土方平整之前，由甲方、监理组织施工单位技术人员进行自然地坪标高抄测。</w:t>
      </w:r>
    </w:p>
    <w:p w14:paraId="2ECD04B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(2)第一层杂填土用推土机进行清除，并运到甲方指定的弃土场进行堆放，土堆应规方，满足安全文明施工要求。</w:t>
      </w:r>
    </w:p>
    <w:p w14:paraId="47E5D01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(3)施工中应尽量利用附近场地堆放回填用的土方，剩余部分土方，在挖土时应随时采用自卸汽车运到甲方指定的堆放场地，土方堆放应规方。</w:t>
      </w:r>
    </w:p>
    <w:p w14:paraId="4609A42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val="en-US" w:eastAsia="zh-CN"/>
        </w:rPr>
        <w:t>8</w:t>
      </w:r>
      <w:r>
        <w:rPr>
          <w:rFonts w:hint="eastAsia" w:ascii="仿宋" w:hAnsi="仿宋" w:eastAsia="仿宋" w:cs="仿宋"/>
          <w:color w:val="auto"/>
          <w:kern w:val="0"/>
          <w:sz w:val="28"/>
          <w:szCs w:val="20"/>
          <w:lang w:eastAsia="zh-CN"/>
        </w:rPr>
        <w:t>、土方开挖</w:t>
      </w:r>
    </w:p>
    <w:p w14:paraId="69280E1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(1)土方开挖前，首先对开挖区域进行场地平整，然后进行测量定位及放线。土方开挖前首先对定位放线复检，经监理工程师批准后，方可开挖。</w:t>
      </w:r>
    </w:p>
    <w:p w14:paraId="153F211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土方采用机械开挖，人工修坡，根据地质条件放坡度系数定为1:1,以防塌方伤人。用反铲挖掘机挖土，自卸汽车运输。用于回填的土方存放在指定的位置，在整个土方开挖过程中，测量人员始终跟踪测量挖土的地基标高，以免造成超挖现象。当用机械挖至距基底200mm时采用人工清底，以防基底土方被扰动。</w:t>
      </w:r>
    </w:p>
    <w:p w14:paraId="205B1D10">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(3)开挖土方应连续进行尽快完成，场地挖好后，复核标高尺寸，为防止地基扰动，人工清槽时，放线员做好标高控制点再进行挖方。</w:t>
      </w:r>
    </w:p>
    <w:p w14:paraId="1AA980D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(4)土方施工完成后，应会同勘察、设计、监理、建设单位对地质情况进行验槽，符合设计要求后，方可进行下道工序施工。</w:t>
      </w:r>
    </w:p>
    <w:p w14:paraId="2176D15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(5)场地平整后，进行抄平、放线工作。</w:t>
      </w:r>
    </w:p>
    <w:p w14:paraId="4AACE24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(6)土方开挖时核对工程地质资料，观察现场所挖土与地质勘探资料是否相符，发现不符时，立即与设计单位、勘探单位、建设单位研究处理。</w:t>
      </w:r>
    </w:p>
    <w:p w14:paraId="251C318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(7)场地土方开挖前对现场布置的坐标控制点、中心桩等应进行校核并妥为保护。</w:t>
      </w:r>
    </w:p>
    <w:p w14:paraId="6DFE1C8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(8)场地开挖的平面尺寸、深度、坡度应符合有关规定和设计要求，不准超挖。人工清槽时，放线员做好标高控制点进行挖方。</w:t>
      </w:r>
    </w:p>
    <w:p w14:paraId="2BB6DC9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(9)回填土按要求采取分层分段夯填。填土全部完成后，应进行表面拉线找平，凡超过标准高程的地方，及时依线铲平，凡低于标准高程的地方，应补土夯实。</w:t>
      </w:r>
    </w:p>
    <w:p w14:paraId="66B51070">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0"/>
          <w:sz w:val="28"/>
          <w:szCs w:val="28"/>
          <w:lang w:val="en-US" w:eastAsia="zh-CN" w:bidi="ar-SA"/>
        </w:rPr>
      </w:pPr>
      <w:r>
        <w:rPr>
          <w:rFonts w:hint="eastAsia" w:ascii="仿宋" w:hAnsi="仿宋" w:eastAsia="仿宋" w:cs="仿宋"/>
          <w:b/>
          <w:bCs/>
          <w:snapToGrid w:val="0"/>
          <w:color w:val="auto"/>
          <w:kern w:val="0"/>
          <w:sz w:val="28"/>
          <w:szCs w:val="28"/>
          <w:lang w:val="en-US" w:eastAsia="zh-CN" w:bidi="ar-SA"/>
        </w:rPr>
        <w:t>第八节、土方运输方案</w:t>
      </w:r>
    </w:p>
    <w:p w14:paraId="1D339AF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一、总体运输方案</w:t>
      </w:r>
    </w:p>
    <w:p w14:paraId="6CCE6DF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1、土方及垃圾运输单位必须经当地土方及垃圾管理部门核准，并应满足如下要求：</w:t>
      </w:r>
    </w:p>
    <w:p w14:paraId="7D462E4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1.1、运输车辆应有合法的行驶证，并通过年审；</w:t>
      </w:r>
    </w:p>
    <w:p w14:paraId="4DF12E7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1.2、运输单位应具有当地主管部门颁发的准运证或营运证；</w:t>
      </w:r>
    </w:p>
    <w:p w14:paraId="29E5F68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1.3、具有土方及垃圾经营性运输服务资质。</w:t>
      </w:r>
    </w:p>
    <w:p w14:paraId="565B113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2、土方及垃圾运输车辆应按核准的路线和时间行驶，并到核准的地点处理处置土方及垃圾。具体要求如下：</w:t>
      </w:r>
    </w:p>
    <w:p w14:paraId="48A38F3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2.1、土方及垃圾运输车运行时间安排应避开交通高峰时段，以减少对交通的影响。</w:t>
      </w:r>
    </w:p>
    <w:p w14:paraId="0DAAA17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2.2、土方及垃圾运输车辆的运输路线，应由当地土方及垃圾主管部门会同交通管理部门规定。</w:t>
      </w:r>
    </w:p>
    <w:p w14:paraId="7B1EA3B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2.3、运输单位将土方及垃圾倾倒在核准的处理地点后，应取得受纳场地管理单位签发的回执，交送当地土方及垃圾主管部门查验。</w:t>
      </w:r>
    </w:p>
    <w:p w14:paraId="00BDF88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二、人员、车辆投入情况</w:t>
      </w:r>
    </w:p>
    <w:p w14:paraId="29F52F6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1、主要施工机械的选用</w:t>
      </w:r>
    </w:p>
    <w:p w14:paraId="013D80A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根据本标段的特点，主要施工机械设备配备表见相关章节。</w:t>
      </w:r>
    </w:p>
    <w:p w14:paraId="5738405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2、施工机械设备的布置</w:t>
      </w:r>
    </w:p>
    <w:p w14:paraId="6A06B6D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按照施工机械的计划计划和施工安排计划，由项目经理部统一调配使用，保证流水作业，设备不闲置，也不出现需用设备而不够的不良现象。</w:t>
      </w:r>
    </w:p>
    <w:p w14:paraId="70FC4F0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3、施工设备的使用</w:t>
      </w:r>
    </w:p>
    <w:p w14:paraId="2BF5519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(1)施工设备的使用要切实做到科学管理、合理使用，必须贯彻“管理为使用服务，使用要加强管理，管理、使用结合”的原则，合理配备操作和检测人员，克服只顾使用而忽视管理的倾向。</w:t>
      </w:r>
    </w:p>
    <w:p w14:paraId="63BA420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(2)合理使用施工设备必须遵循设备的客观规律。既要防止“大马拉小车”不能发挥机械效率，也要防止超越设备能力蛮干。</w:t>
      </w:r>
    </w:p>
    <w:p w14:paraId="579ECE9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(3)做好施工设备的配套工作，充分发挥设备效能，提高利用率。</w:t>
      </w:r>
    </w:p>
    <w:p w14:paraId="5CB75EC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(4)加强计划和调度管理，做好设备的供应和保养工作。</w:t>
      </w:r>
    </w:p>
    <w:p w14:paraId="1CB89F6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4、机械设备的维护</w:t>
      </w:r>
    </w:p>
    <w:p w14:paraId="68ABFE93">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(1)根据统一领导、分级维护的维护原则，建立自上而下的三级维护体制。</w:t>
      </w:r>
    </w:p>
    <w:p w14:paraId="57F3E99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(2)有计划地对施工设备进行定期维护和检查修理及技术改造、更新，充分挖掘设备效率和作业能力。</w:t>
      </w:r>
    </w:p>
    <w:p w14:paraId="064F240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5、施工设备的保养</w:t>
      </w:r>
    </w:p>
    <w:p w14:paraId="2FAA3B9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(1)建立以预防为主的定期保养制度，制定不同机型的保养规程。</w:t>
      </w:r>
    </w:p>
    <w:p w14:paraId="79966F5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(2)配齐随机工具和保养专用工具，按时供应润滑油及必要的备品、备件。</w:t>
      </w:r>
    </w:p>
    <w:p w14:paraId="0607BB6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(3)配备一定的保养力量，并对操作、保修人员进行技术培训，以提高巧保养作业的技术能力。</w:t>
      </w:r>
    </w:p>
    <w:p w14:paraId="57B0123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(4)及时做好施工设备的日常保养工作</w:t>
      </w:r>
    </w:p>
    <w:p w14:paraId="50D0FCF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6、劳动力计划</w:t>
      </w:r>
    </w:p>
    <w:p w14:paraId="30D73B5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6.1、编制劳动力安排计划</w:t>
      </w:r>
    </w:p>
    <w:p w14:paraId="7AF36F2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根据现行行业工程劳动定额，结合本地区人工劳动量的具体情况、工程平面特点、施工进度计划，本项目工程不同施工阶段劳动力配置计划见劳动力计划表。</w:t>
      </w:r>
    </w:p>
    <w:p w14:paraId="5D1F515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6.2、劳动力计划的实施</w:t>
      </w:r>
    </w:p>
    <w:p w14:paraId="70D2544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6.2.1、对进入施工现场的施工队伍进行资格审查，施工班组必须配备兼职质安员，对员工进行岗前教育。</w:t>
      </w:r>
    </w:p>
    <w:p w14:paraId="613D37D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6.2.2、对已进入施工现场的人员实施动态管理，为确保施工队伍的素质和人员相对稳定，不允许施工班组擅自扩充和随意抽调施工人员。</w:t>
      </w:r>
    </w:p>
    <w:p w14:paraId="1CD41E2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6.2.3、未经项目部质量、安全培训的操作工人，不允许上岗。</w:t>
      </w:r>
    </w:p>
    <w:p w14:paraId="3C87C2C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6.2.4、加强劳动班组的管理，凡进场的劳动班组须配备专职协调员。</w:t>
      </w:r>
    </w:p>
    <w:p w14:paraId="10E109A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6.3、劳动力组织和管理</w:t>
      </w:r>
    </w:p>
    <w:p w14:paraId="3C51469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劳动力的组织和管理直接影响工程能否顺利完成，是施工管理的关键之一。为实现管理目标，拟采用以下有关措施：</w:t>
      </w:r>
    </w:p>
    <w:p w14:paraId="757A726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施工现场项目经理及主办工长要做全盘考虑，认真学习，拟定出本项目工程各阶段施工所需投入的人力，以及进出场的时间，做到心中有数，减少盲目性，避免造成不应有的人员紧缺或窝工。</w:t>
      </w:r>
    </w:p>
    <w:p w14:paraId="7258D623">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三、运输及时性、配合方案</w:t>
      </w:r>
    </w:p>
    <w:p w14:paraId="17AE2F4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1、土方及垃圾运输车辆型式和载重量选择应遵循如下原则：</w:t>
      </w:r>
    </w:p>
    <w:p w14:paraId="50CE3D6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1.1、工程渣土运输宜采用载重量大于8t的密封式货车；</w:t>
      </w:r>
    </w:p>
    <w:p w14:paraId="7E7ED62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1.2、土方及垃圾运输宜采用载重量5～15t的密封式货车；</w:t>
      </w:r>
    </w:p>
    <w:p w14:paraId="3864909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1.3、工程泥浆运输宜采用载重量大于8t的密封罐车。</w:t>
      </w:r>
    </w:p>
    <w:p w14:paraId="6A30766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2、土方及垃圾运输车厢盖应采用机械密闭装置，开启、关闭时动作应平稳灵活、无卡滞、冲击现象。</w:t>
      </w:r>
    </w:p>
    <w:p w14:paraId="3C2DD2A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2.1、厢盖与厢盖、厢盖与车厢侧栏板缝隙不应大于30 mm;</w:t>
      </w:r>
    </w:p>
    <w:p w14:paraId="5A225C7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2.2、厢盖与车厢前、后拦板缝隙不应大于50 mm;</w:t>
      </w:r>
    </w:p>
    <w:p w14:paraId="1535B683">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2.3、卸料门与车厢栏板、底板结合处缝隙不应大于10 mm。</w:t>
      </w:r>
    </w:p>
    <w:p w14:paraId="16D63F1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3、土方及垃圾运输车辆应容貌整洁、外观完整、标志齐全。</w:t>
      </w:r>
    </w:p>
    <w:p w14:paraId="7EE2697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3.1、车辆车窗、挡风玻璃、反光镜、车灯应明亮，无浮尘、无污迹；</w:t>
      </w:r>
    </w:p>
    <w:p w14:paraId="387A010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3.2、车辆车牌号应清晰、无明显污渍，距车牌15m处应能清晰分辨车牌上的字迹；</w:t>
      </w:r>
    </w:p>
    <w:p w14:paraId="0525AC1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3.3、车厢厢体、厢盖外表面应光滑平整，无明显的凹陷和变形。车厢外部锈蚀或油漆剥落单块面积不得超过0.01m2,总面积不得超过0.05 m2;</w:t>
      </w:r>
    </w:p>
    <w:p w14:paraId="044C04C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3.4、车辆底盘无大块泥沙等附着物，轻轻敲打时，应无块状泥沙等污渍脱落。</w:t>
      </w:r>
    </w:p>
    <w:p w14:paraId="63AB217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4.、土方及垃圾装载高度应低于车厢栏板高度，装载量不得超过车辆额定载重量。</w:t>
      </w:r>
    </w:p>
    <w:p w14:paraId="067274E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5、车辆装载完毕后，厢盖应关闭到位，并检查车厢卸料门锁紧装置，保证锁紧有效、可靠。</w:t>
      </w:r>
    </w:p>
    <w:p w14:paraId="0A41A59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6、车厢液压举升机构及厢盖液压、启闭机构的液压部件各结合面无明显渗漏(10min内未成滴或渗油面积不大于200mm2)。</w:t>
      </w:r>
    </w:p>
    <w:p w14:paraId="6614549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7、运输单位应定期对车辆进行维护和检测，保证车况完好。</w:t>
      </w:r>
    </w:p>
    <w:p w14:paraId="74A289C7">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0"/>
          <w:sz w:val="28"/>
          <w:szCs w:val="28"/>
          <w:lang w:val="en-US" w:eastAsia="zh-CN" w:bidi="ar-SA"/>
        </w:rPr>
      </w:pPr>
      <w:r>
        <w:rPr>
          <w:rFonts w:hint="eastAsia" w:ascii="仿宋" w:hAnsi="仿宋" w:eastAsia="仿宋" w:cs="仿宋"/>
          <w:b/>
          <w:bCs/>
          <w:snapToGrid w:val="0"/>
          <w:color w:val="auto"/>
          <w:kern w:val="0"/>
          <w:sz w:val="28"/>
          <w:szCs w:val="28"/>
          <w:lang w:val="en-US" w:eastAsia="zh-CN" w:bidi="ar-SA"/>
        </w:rPr>
        <w:t>第九节、土方排放及运输条件</w:t>
      </w:r>
    </w:p>
    <w:p w14:paraId="2444D89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1、土方排放</w:t>
      </w:r>
    </w:p>
    <w:p w14:paraId="1F5A487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1.1、土方排放人应当对土方进行分类。不得将土方与生活垃圾、危险废物混合处置。</w:t>
      </w:r>
    </w:p>
    <w:p w14:paraId="66F067D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1.2、排放土方的施工工地应当符合下列条件：</w:t>
      </w:r>
    </w:p>
    <w:p w14:paraId="033042C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1.2.1、设置符合相关技术规范的围蔽设施；</w:t>
      </w:r>
    </w:p>
    <w:p w14:paraId="4CD0A3D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1.2.2、出口道路硬化处理，设置车辆冲洗设备并有效使用；</w:t>
      </w:r>
    </w:p>
    <w:p w14:paraId="01580BA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1.2.3、设置洗车槽和沉淀池并有效使用；</w:t>
      </w:r>
    </w:p>
    <w:p w14:paraId="3C3C054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1.2.4、采取措施避免扬尘，建筑物应当采取喷淋除尘措施并设置立体式遮挡尘土防护设施；</w:t>
      </w:r>
    </w:p>
    <w:p w14:paraId="476C496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1.2.5、土方分类堆放，及时清运。</w:t>
      </w:r>
    </w:p>
    <w:p w14:paraId="060D0B6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1.3、垃圾排放施工现场配备土方排放管理人员，监督土方装载，保证土方运输车辆密闭、整洁出场。</w:t>
      </w:r>
    </w:p>
    <w:p w14:paraId="2FD29F7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2、土方运输条件</w:t>
      </w:r>
    </w:p>
    <w:p w14:paraId="41A7C13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2.1、我公司建立健全土方运输车辆安全管理、驾驶人培训、车辆清运规范服务制度，加强车辆维修养护，保证运输安全规范。</w:t>
      </w:r>
    </w:p>
    <w:p w14:paraId="3A31286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2.2、土方运输车辆的驾驶人应当符合以下条件；</w:t>
      </w:r>
    </w:p>
    <w:p w14:paraId="40D50E1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2.2.1、取得相应准驾车型驾驶证并具有三年以上驾驶经历；</w:t>
      </w:r>
    </w:p>
    <w:p w14:paraId="2DE0D4A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2.2.2、持有本市公安机关交通管理部门核发或换发的驾驶证件；</w:t>
      </w:r>
    </w:p>
    <w:p w14:paraId="658F7A1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2.2.3、最近连续三个记分周期内没有被记满分记录；</w:t>
      </w:r>
    </w:p>
    <w:p w14:paraId="5836F5E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2.2.4、无致人死亡或者重伤的交通责任事故；</w:t>
      </w:r>
    </w:p>
    <w:p w14:paraId="0CD6800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2.2.5、无饮酒或者醉酒后驾驶记录，最近一年内无超速等严重交通违法行为；</w:t>
      </w:r>
    </w:p>
    <w:p w14:paraId="083299B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2.2.6、经考试合格，取得相应的道路运输从业资格证件。</w:t>
      </w:r>
    </w:p>
    <w:p w14:paraId="6EFE0BB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2.3、我公司取得《市土方处置(运输)证》后，按照行业规定对运输车辆统一外观标识，并将企业、车辆、驾驶人相关情况向公安机关交通管理部门备案。</w:t>
      </w:r>
    </w:p>
    <w:p w14:paraId="2F4920A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2.4、我公司在运输土方时在运输过程中应当遵守下列规定：</w:t>
      </w:r>
    </w:p>
    <w:p w14:paraId="79059A6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2.4.1、承运经批准排放的土方；</w:t>
      </w:r>
    </w:p>
    <w:p w14:paraId="4BEAFE8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2.4.2、实行分类运输；</w:t>
      </w:r>
    </w:p>
    <w:p w14:paraId="71119FF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2.4.3、按照规定的时间、速度和路线行驶；</w:t>
      </w:r>
    </w:p>
    <w:p w14:paraId="519C860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2.4.4、运输至经批准的消纳、综合利用场地；</w:t>
      </w:r>
    </w:p>
    <w:p w14:paraId="613D215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2.4.5、保持车辆整洁、密闭装载，不得沿途泄漏、抛撒；</w:t>
      </w:r>
    </w:p>
    <w:p w14:paraId="0A1E601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2.4.6、运输车辆随车携带《市土方处置(运输)证》副本等准运证件。</w:t>
      </w:r>
    </w:p>
    <w:p w14:paraId="2636ACA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2.5、土方运输人应当在施工现场配备管理人员，监督运输车辆的密闭启运和清洗，督促驾驶人规范使用运输车辆安装的卫星定位系统等相关电子装置，安全文明行驶。</w:t>
      </w:r>
    </w:p>
    <w:p w14:paraId="6C080B4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2.6、土方运输人应当将土方运至指定的消纳场所。禁止在道路、公共场地、公共绿地、农田、河流、湖泊、供排水设施、水利设施以及其他非指定场地倾倒土方。</w:t>
      </w:r>
    </w:p>
    <w:p w14:paraId="1CA13CB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2.7、运输土方造成道路及环境污染的，我公司会派人立即清除污染。</w:t>
      </w:r>
    </w:p>
    <w:p w14:paraId="461343EE">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0"/>
          <w:sz w:val="28"/>
          <w:szCs w:val="28"/>
          <w:lang w:val="en-US" w:eastAsia="zh-CN" w:bidi="ar-SA"/>
        </w:rPr>
      </w:pPr>
      <w:r>
        <w:rPr>
          <w:rFonts w:hint="eastAsia" w:ascii="仿宋" w:hAnsi="仿宋" w:eastAsia="仿宋" w:cs="仿宋"/>
          <w:b/>
          <w:bCs/>
          <w:snapToGrid w:val="0"/>
          <w:color w:val="auto"/>
          <w:kern w:val="0"/>
          <w:sz w:val="28"/>
          <w:szCs w:val="28"/>
          <w:lang w:val="en-US" w:eastAsia="zh-CN" w:bidi="ar-SA"/>
        </w:rPr>
        <w:t>第十节、场地平整工程施工</w:t>
      </w:r>
    </w:p>
    <w:p w14:paraId="09D2F7A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施工准备按区域分土方开挖及平整高程测量放样施工便道布置机械进场沿渠道流向，机械剥离表土耕作在格内集体堆放耕土层平整土地交工验收</w:t>
      </w:r>
    </w:p>
    <w:p w14:paraId="360FC0D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1、土方开挖及平整施工方法</w:t>
      </w:r>
    </w:p>
    <w:p w14:paraId="1412D1F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1.1、按照《土地开发整理标准》(T/D1011-1013-1000)以及项目规划设计书所确定的建设标准进行施工。</w:t>
      </w:r>
    </w:p>
    <w:p w14:paraId="1510A99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1.2、为确保工程进度，分多个工作面开展施工作业，按施工总进度计划制定阶段，施工计划报批后施工.</w:t>
      </w:r>
    </w:p>
    <w:p w14:paraId="133A269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1.3、土方开挖及平整单元确定</w:t>
      </w:r>
    </w:p>
    <w:p w14:paraId="44079EF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确定合理的平整单元是实现土方合理分配、就近挖填平衡，减小土地开挖工程量，发挥机械效率，提高劳动生产率的前提。</w:t>
      </w:r>
    </w:p>
    <w:p w14:paraId="1C2DB1C3">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平整土地应根据地形条件分片，结合土地工程的规划，确定平整单元。平整单元的大小应考虑能充分发挥平整机械的效率，使运输线路设有交叉和对流。</w:t>
      </w:r>
    </w:p>
    <w:p w14:paraId="1C53B92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2.1.4、土方开挖量的计算</w:t>
      </w:r>
    </w:p>
    <w:p w14:paraId="16E7D20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1)土具有可松性，即自然状态下的土，经过开挖后，其体积因松散而增加；以后随经回填压实仍不能恢复原来的体积，根据土体类别，确定土的可松性系数，计算土方量。</w:t>
      </w:r>
    </w:p>
    <w:p w14:paraId="287F0A0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土方量的计算是土方开挖中的一项重要内容，它直接关系着工程项目的提资，在计算土方量时，在地形复杂的地区，用方格网法确定田方的设计高程.在地形变化比较均匀不太复杂的地区，用散点法确定设计高程与《规划图》中的高程相比较，因地制宜，合理确定高程。</w:t>
      </w:r>
    </w:p>
    <w:p w14:paraId="4CD9EAE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A、平均挖填深度计算</w:t>
      </w:r>
    </w:p>
    <w:p w14:paraId="3C3B469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将各实测点高程与设计高程相比较，大于设计高程的为挖方；小于设计高程的为填方：等于设计高程的表示不挖不填。算出各点高程与设计高程的差值，将其中的正值求平均，可算出平均挖深，负值求平均即为平均填土。</w:t>
      </w:r>
    </w:p>
    <w:p w14:paraId="33A05EA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B、挖填方面积及土方量计算，分为两种情况</w:t>
      </w:r>
    </w:p>
    <w:p w14:paraId="1F8D970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无土方进出情况下土方量的计算。</w:t>
      </w:r>
    </w:p>
    <w:p w14:paraId="7B582E0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有土方进出情况下土方量的计算。在地形起伏较多，存在局部高低或坑塘的情况下，平整单元的设计高程就会高于或低于实测平均高程。</w:t>
      </w:r>
    </w:p>
    <w:p w14:paraId="0FDD995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3)土方调配</w:t>
      </w:r>
    </w:p>
    <w:p w14:paraId="6A1EB90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土方调配是土方规划中的一个重要内容，其工作包括：划分调配区，计算土方调配区之间的平均运距，确定土方的最优调配方案，绘制土方调配图表。</w:t>
      </w:r>
    </w:p>
    <w:p w14:paraId="7BD93D3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A、土方调配区的划分：</w:t>
      </w:r>
    </w:p>
    <w:p w14:paraId="3B90E31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土方调配的原则，挖填平衡，运距最短，费用最省，考虑土方的利用，以减少土方的重复挖填和运输。因此，在划分调配区时，我们充分注意了以下几点：</w:t>
      </w:r>
    </w:p>
    <w:p w14:paraId="62B3EA8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调配区的划分满足工程施工顺序和分期施工的要求使近期施工和后期利用相结合。</w:t>
      </w:r>
    </w:p>
    <w:p w14:paraId="77B8BFB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调配区的大小考虑土方及运输机械的技术性能，使其功能得到充分发挥，调配区的长度大于或多于机械的长度，调配区的面积与施工段的大小相适应。</w:t>
      </w:r>
    </w:p>
    <w:p w14:paraId="2952B31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B、调配区之间的平均运距。平均运距即挖方区土方重心至填方区</w:t>
      </w:r>
    </w:p>
    <w:p w14:paraId="16023EC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土方重点的距离。取场地的纵横两边为坐标轴，分别求出各区土方的重心位置。重心求出后，则标于轴差的调配区图上，然后用比例尺量出每对调配区之间的平均运距。</w:t>
      </w:r>
    </w:p>
    <w:p w14:paraId="279FBDF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C、最优调配方案的确定</w:t>
      </w:r>
    </w:p>
    <w:p w14:paraId="7F1C93D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最优调配方案的确定，是以线形规划为理论基础，用表上作业法求解，用最小元素法编制初始调配方案。</w:t>
      </w:r>
    </w:p>
    <w:p w14:paraId="7700C23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2.1.5、施工顺序：先易后难，由高到低，逐块施工。</w:t>
      </w:r>
    </w:p>
    <w:p w14:paraId="559D92C0">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2.1.6、施工前，有项目监理检查施工机械设备.土地施工前，由项目监理人、项目技术负责人、质检员参加，按设计图示、结合地形实际情况，因地制宜，现场确定土地施工边界。由测量人员划线栽桩，同时预估统计施工土方量和土地工程量，经项目经理认可后方可施工。如遇有土地施工实际确定的边界与图示不符，须由项目技术负责人提出设计变更申请书，交由项目监理人审批签署意见，然后投入施工。竣工后的土地经项目监理检查验收后机械方可撤离。</w:t>
      </w:r>
    </w:p>
    <w:p w14:paraId="5779D6A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2.1.7、土地边界确定后，利用建设单位提供的规划图或测量基准点，采用经纬仪确定施工平面标高.确定的土地标高必须依据地势和有利排水原则,沿排水方向土地依次降低,在施工过程中,采用水准仪监控土地坡度、平整度，满足项目规划设计要求。</w:t>
      </w:r>
    </w:p>
    <w:p w14:paraId="320EC9D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2.1.8、土地施工顺序按照从高标高土地到低标土地顺序进行,这样有利于土方工程量的合理调配使用.每一土地施工前采用推土机将耕作土推移放至一边保存,再用推土机、铲运机、拖拉机或自卸车等机械配合人工进行挖高填低施工,按坡度要求进行推平压实.然后将另一边的土地均匀覆盖地面,并再次整平,如果部分土地存放的耕作土不能满足规划设计要求时(耕作土覆盖厚度大于等于30cm),还需从其余土地施工现场搬运耕土,并再次平整,以满足规划设计要求。</w:t>
      </w:r>
    </w:p>
    <w:p w14:paraId="58A1FE2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2.1.9、修建土地要求美观大方,以有利于水土保持原则，要求大弯顺势，小弯取值。</w:t>
      </w:r>
    </w:p>
    <w:p w14:paraId="4FF693D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2.1.10、土地竣工后,详细核查实际施工土方量,采用经纬仪进行实地测量,检查土地边界,再用水准仪检查土地坡度、平整度和标高，按比例绘制各工作平面图，并按比例绘制到1:1500地形图或现状图上。</w:t>
      </w:r>
    </w:p>
    <w:p w14:paraId="05834CA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2.1.11、施工工艺流程</w:t>
      </w:r>
    </w:p>
    <w:p w14:paraId="2E61F663">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检查施工设备---划分工作面----划界栽桩---确定土地边界、标高、坡度一检查验收---耕作土保存---挖填土方一推平压实一覆盖耕作土一推平一修建土地一检查验收</w:t>
      </w:r>
    </w:p>
    <w:p w14:paraId="755D536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2.2、机械施工</w:t>
      </w:r>
    </w:p>
    <w:p w14:paraId="4F0DE260">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1、由于土方工程的特点是:面广量大,施工条件复杂,为了提高劳动生产率,加快工程进度和降低工程成本,采用机械化施工，</w:t>
      </w:r>
    </w:p>
    <w:p w14:paraId="79C39CD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2、施工机械进入现场所经过的道路应事先经过检查，必要时需加固或加宽等准备工作。</w:t>
      </w:r>
    </w:p>
    <w:p w14:paraId="59538F7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2.2.1、推土机施工</w:t>
      </w:r>
    </w:p>
    <w:p w14:paraId="753B752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A\作业循环</w:t>
      </w:r>
    </w:p>
    <w:p w14:paraId="1F28C26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直角推土机的作业循环是:切土一推土一卸土一倒退(或折返)回</w:t>
      </w:r>
    </w:p>
    <w:p w14:paraId="1EA432C3">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B推土方法</w:t>
      </w:r>
    </w:p>
    <w:p w14:paraId="18ECC387">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推土机的推土方法有拉机槽推土法、分段推土法、多刀推土法、并列推土法及下坡推土法等。在施工中，上述方法经常是两种或两种以上方法结合运用。</w:t>
      </w:r>
    </w:p>
    <w:p w14:paraId="344B29C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1、多刀推土法</w:t>
      </w:r>
    </w:p>
    <w:p w14:paraId="2140205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多刀推土法在较宽的取土场内，推土机按分段切土，自近而远均将种段所切土壤推运至各段的切土终点处，等作业线上积聚起若干个土堆后，由远而近以土拥土的方法叠送至填方处。</w:t>
      </w:r>
    </w:p>
    <w:p w14:paraId="08D0308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2、并列推土法</w:t>
      </w:r>
    </w:p>
    <w:p w14:paraId="2DB2E00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当运土距离较长(50-100m可采用1-3台推土机并列作业，这样推土量可增加15%-30%。</w:t>
      </w:r>
    </w:p>
    <w:p w14:paraId="1522102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C、推土机施工运距一般按挖方取土重点至弃土填方重心间的水平距离计算。</w:t>
      </w:r>
    </w:p>
    <w:p w14:paraId="1879423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实际施工中，推士机在推运土方作业时的水平过程，受填挖重心位置上的切土、散土长度的影响，故实际水平运距比理论计算运距大。实际水平运距用于产量定额分析、最小工作面长度确定等。</w:t>
      </w:r>
    </w:p>
    <w:p w14:paraId="4CF8AE4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2.2.2、铲运机施工</w:t>
      </w:r>
    </w:p>
    <w:p w14:paraId="0D7707E0">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2.2.2.1、作业循环及铲土方法:</w:t>
      </w:r>
    </w:p>
    <w:p w14:paraId="2D9C104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A、作业循环</w:t>
      </w:r>
    </w:p>
    <w:p w14:paraId="102FAF2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铲运机的作业循环是:铲装一运送一卸铺一回程。铲装作业是整个作业循环的关键，要求在尽可能短的距离内，以最短的时间把铲斗充满或超过铲斗的几何容量。为达到此目的，除在选定铲土方法上充分利铲运机的功率外在作业工程中还应正确掌握铲运机斗门的开启大小。在铲装作业过程中斗门开启的大小应该是大一小一较大。</w:t>
      </w:r>
    </w:p>
    <w:p w14:paraId="16EA4A9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B、铲土方法</w:t>
      </w:r>
    </w:p>
    <w:p w14:paraId="746E6F8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一般铲土法</w:t>
      </w:r>
    </w:p>
    <w:p w14:paraId="3E20A20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在I、II级土壤中铲土时，铲运机进入铲土道后即升起斗门放下铲斗，以一档速度行驶铲土，当前进1-3m后达到最大铲土深度(一般不超过0.3m)，即相当于发动机超负荷后，就逐渐提升铲斗,减小铲土深度,使发动维持全负荷,铲斗容量及牵引力而定.6-8m3斗容量的铲运机在平地上铲装I、II级土，铲装长度一般在10-30cm之间。</w:t>
      </w:r>
    </w:p>
    <w:p w14:paraId="337D67B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对II、III级士，如果不经事先翻松，而直接由铲运机铲装，则宜采用波浪式铲土法，一般起伏3-4次即可装满铲斗。</w:t>
      </w:r>
    </w:p>
    <w:p w14:paraId="5BA51AD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在铲土中铲装时，随着铲装过程中的推移，若采用一般铲土铲土会使斗门前常聚成0.3-0.5m高的土堆,因此宜采用波浪式下铲啄铲法挤装,一般重复1-3次即可装满铲斗,为了防止粉砂土在铲运机运行过程中的撒漏,必要时可采取加长铲斗的小刀片长度,使斗门关闭严密跨铲法</w:t>
      </w:r>
    </w:p>
    <w:p w14:paraId="7EFCF79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先在取土场的第一排铲土道铲土,两铲土道间留出一条宽为铲刀之半宽的土埂:第二排铲土道的起点与第一排铲土道的起点相距约半个铲土长度,其中线互错半个铲土宽度:第三排及其以后仿此进行.这样,从第二排起,每次铲土的前半段较宽,后半段较窄,使发动机的负荷均衡。</w:t>
      </w:r>
    </w:p>
    <w:p w14:paraId="490EEDE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当铲运机受运用行道口长度限制地(如填筑低路堤时)可以采用单排跨铲法。</w:t>
      </w:r>
    </w:p>
    <w:p w14:paraId="5C9553D4">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下坡铲土法</w:t>
      </w:r>
    </w:p>
    <w:p w14:paraId="7E4BE737">
      <w:pPr>
        <w:spacing w:line="600" w:lineRule="auto"/>
        <w:ind w:firstLine="560" w:firstLineChars="200"/>
        <w:rPr>
          <w:rFonts w:hint="eastAsia" w:ascii="仿宋" w:hAnsi="仿宋" w:eastAsia="仿宋" w:cs="仿宋"/>
          <w:color w:val="auto"/>
          <w:kern w:val="0"/>
          <w:sz w:val="28"/>
          <w:szCs w:val="20"/>
          <w:lang w:val="en-US" w:eastAsia="zh-CN"/>
        </w:rPr>
      </w:pPr>
      <w:r>
        <w:rPr>
          <w:rFonts w:hint="eastAsia" w:ascii="仿宋" w:hAnsi="仿宋" w:eastAsia="仿宋" w:cs="仿宋"/>
          <w:color w:val="auto"/>
          <w:kern w:val="0"/>
          <w:sz w:val="28"/>
          <w:szCs w:val="20"/>
          <w:lang w:eastAsia="zh-CN"/>
        </w:rPr>
        <w:t>下坡铲土法是利用铲运机的重力作用来增大牵引力.这样不但可以缩短铲装时间,而且也是提高了铲斗的装满程度(即充盈系数变大)这种方法不仅适用于原地面有坡度的地段,就是在平坦地段,只要通过适当的改造,即可实现下坡铲土,铲土坡度一般为3</w:t>
      </w:r>
      <w:r>
        <w:rPr>
          <w:rFonts w:hint="eastAsia" w:ascii="仿宋" w:hAnsi="仿宋" w:eastAsia="仿宋" w:cs="仿宋"/>
          <w:color w:val="auto"/>
          <w:kern w:val="0"/>
          <w:sz w:val="28"/>
          <w:szCs w:val="20"/>
          <w:lang w:val="en-US" w:eastAsia="zh-CN"/>
        </w:rPr>
        <w:t>°至</w:t>
      </w:r>
      <w:r>
        <w:rPr>
          <w:rFonts w:hint="eastAsia" w:ascii="仿宋" w:hAnsi="仿宋" w:eastAsia="仿宋" w:cs="仿宋"/>
          <w:color w:val="auto"/>
          <w:kern w:val="0"/>
          <w:sz w:val="28"/>
          <w:szCs w:val="20"/>
          <w:lang w:eastAsia="zh-CN"/>
        </w:rPr>
        <w:t>9</w:t>
      </w:r>
      <w:r>
        <w:rPr>
          <w:rFonts w:hint="eastAsia" w:ascii="仿宋" w:hAnsi="仿宋" w:eastAsia="仿宋" w:cs="仿宋"/>
          <w:color w:val="auto"/>
          <w:kern w:val="0"/>
          <w:sz w:val="28"/>
          <w:szCs w:val="20"/>
          <w:lang w:val="en-US" w:eastAsia="zh-CN"/>
        </w:rPr>
        <w:t>°</w:t>
      </w:r>
      <w:r>
        <w:rPr>
          <w:rFonts w:hint="eastAsia" w:ascii="仿宋" w:hAnsi="仿宋" w:eastAsia="仿宋" w:cs="仿宋"/>
          <w:color w:val="auto"/>
          <w:kern w:val="0"/>
          <w:sz w:val="28"/>
          <w:szCs w:val="20"/>
          <w:lang w:eastAsia="zh-CN"/>
        </w:rPr>
        <w:t>,最大也不应超过15</w:t>
      </w:r>
      <w:r>
        <w:rPr>
          <w:rFonts w:hint="eastAsia" w:ascii="仿宋" w:hAnsi="仿宋" w:eastAsia="仿宋" w:cs="仿宋"/>
          <w:color w:val="auto"/>
          <w:kern w:val="0"/>
          <w:sz w:val="28"/>
          <w:szCs w:val="20"/>
          <w:lang w:val="en-US" w:eastAsia="zh-CN"/>
        </w:rPr>
        <w:t>°。</w:t>
      </w:r>
    </w:p>
    <w:p w14:paraId="2F0BD6F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顺推助铲法</w:t>
      </w:r>
    </w:p>
    <w:p w14:paraId="4BD97DC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在较硬或冻深在0.1m以内的土层上铲士时,由于切土阻力大,可采用推土机助铲以增加铲运机的牵引力.此方法组织得当,可以得到较好的结果</w:t>
      </w:r>
    </w:p>
    <w:p w14:paraId="009DEB1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采用助铲法施工的取土场,其宽度一般不小于10m,长度不短于80cm当铲运机走行半周运距为150时,一台推土机至少可给3台铲运机顶推助铲,当运距越大,则配合铲运机的台数越多。</w:t>
      </w:r>
    </w:p>
    <w:p w14:paraId="1F1157D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快速铲土法</w:t>
      </w:r>
    </w:p>
    <w:p w14:paraId="5269B05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当铲运机以较高的速度进入铲土位置时,放下铲斗,利用惯性力铲装一部分土,待随着负荷增加,发动机转速降低,此时换用一档速度继续铲装,直至装满铲斗,快速铲土法可缩短铲装作业时间,提高铲运机的生产率。</w:t>
      </w:r>
    </w:p>
    <w:p w14:paraId="1D671400">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2.2.2.2、铲运机运行路线</w:t>
      </w:r>
    </w:p>
    <w:p w14:paraId="20BFACC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铲运机运行路线根据施工工点的条件确定,运行路线有:环行运行路线、连环8字形运行路线及之字形运行路线等。有时，铲运机走行个闭合圈可以作两次甚至多次铲装和卸铺作业。在一个施工工点上也可以采取两种或两种以上的运行路线。</w:t>
      </w:r>
    </w:p>
    <w:p w14:paraId="6DB83D8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2.2.3、装载机施工</w:t>
      </w:r>
    </w:p>
    <w:p w14:paraId="7087A09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1)装载机的作业循环和铲装方法</w:t>
      </w:r>
    </w:p>
    <w:p w14:paraId="260DEB1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A、作业循环装载机的作业循环是铲装一运送装车或卸载一返回当铲掘停机面以下的松散料时，铲斗与地面应成10至30的角度进行铲装。</w:t>
      </w:r>
    </w:p>
    <w:p w14:paraId="4B62E43C">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遇到铲裝困难时，可操纵铲斗上下颤动或稍微改变铲切角度:②铲土丘时，可采用分层铲掘法或分段铲掘法。</w:t>
      </w:r>
    </w:p>
    <w:p w14:paraId="4910918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分层铲掘法与正铲挖掘机过称类似，故宣称挖掘机铲掘法当土质较硬时，宜采用分段铲掘法。此法的特点是铲斗依次进行插入和提升动作，逐段反复直至装满铲斗，这样能充分利用发动机的功率。</w:t>
      </w:r>
    </w:p>
    <w:p w14:paraId="572D94A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1)装车方式</w:t>
      </w:r>
    </w:p>
    <w:p w14:paraId="42472B4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A、V形方式</w:t>
      </w:r>
    </w:p>
    <w:p w14:paraId="78393CF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装土时倾卸汽车停置不动(与工作方向垂直或斜交)，装卸机倒退一段较长的距离，再转向30</w:t>
      </w:r>
      <w:r>
        <w:rPr>
          <w:rFonts w:hint="eastAsia" w:ascii="仿宋" w:hAnsi="仿宋" w:eastAsia="仿宋" w:cs="仿宋"/>
          <w:color w:val="auto"/>
          <w:kern w:val="0"/>
          <w:sz w:val="28"/>
          <w:szCs w:val="20"/>
          <w:lang w:val="en-US" w:eastAsia="zh-CN"/>
        </w:rPr>
        <w:t>°</w:t>
      </w:r>
      <w:r>
        <w:rPr>
          <w:rFonts w:hint="eastAsia" w:ascii="仿宋" w:hAnsi="仿宋" w:eastAsia="仿宋" w:cs="仿宋"/>
          <w:color w:val="auto"/>
          <w:kern w:val="0"/>
          <w:sz w:val="28"/>
          <w:szCs w:val="20"/>
          <w:lang w:eastAsia="zh-CN"/>
        </w:rPr>
        <w:t>~45</w:t>
      </w:r>
      <w:r>
        <w:rPr>
          <w:rFonts w:hint="eastAsia" w:ascii="仿宋" w:hAnsi="仿宋" w:eastAsia="仿宋" w:cs="仿宋"/>
          <w:color w:val="auto"/>
          <w:kern w:val="0"/>
          <w:sz w:val="28"/>
          <w:szCs w:val="20"/>
          <w:lang w:val="en-US" w:eastAsia="zh-CN"/>
        </w:rPr>
        <w:t>°</w:t>
      </w:r>
      <w:r>
        <w:rPr>
          <w:rFonts w:hint="eastAsia" w:ascii="仿宋" w:hAnsi="仿宋" w:eastAsia="仿宋" w:cs="仿宋"/>
          <w:color w:val="auto"/>
          <w:kern w:val="0"/>
          <w:sz w:val="28"/>
          <w:szCs w:val="20"/>
          <w:lang w:eastAsia="zh-CN"/>
        </w:rPr>
        <w:t>向前对准倾斜汽车进行装车。装卸机进行路线成v形。</w:t>
      </w:r>
    </w:p>
    <w:p w14:paraId="1796358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B、I形方式(又称穿梭式)</w:t>
      </w:r>
    </w:p>
    <w:p w14:paraId="4CC3BC10">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装卸机在垂直于工作面的方向前进及后退，而汽车则在装卸机和工作面之间来回接装和驶离:</w:t>
      </w:r>
    </w:p>
    <w:p w14:paraId="6141DBB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3)提高装卸机生产率的措施如下:</w:t>
      </w:r>
    </w:p>
    <w:p w14:paraId="02A0183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A、尽可能地缩短作业循环时间，减少停歇时间</w:t>
      </w:r>
    </w:p>
    <w:p w14:paraId="104D783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B、装卸机行驶速度应合理选择，重车慢速，轻车快速，</w:t>
      </w:r>
    </w:p>
    <w:p w14:paraId="60840100">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C、运输车辆不足时，装卸机应尽可能进行一些辅助工作，如清理现场，疏松物料等。</w:t>
      </w:r>
    </w:p>
    <w:p w14:paraId="2BB05C5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D、运输车辆的停车位置应尽量选配得当，运输车辆的容量应是装卸机斗容量的1~4整倍数。</w:t>
      </w:r>
    </w:p>
    <w:p w14:paraId="4714A5C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4)挖掘机挖装石方注意事项</w:t>
      </w:r>
    </w:p>
    <w:p w14:paraId="68A485C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挖装大块石时一定要注意大块石重量与机械本身负载能力。超负荷作业容易造成臂杆弯扭、底盘大梁断裂，同时宜砸坏运输车辆挖掘高爆堆石方一定要保证石方塌方后与履带间有1.0m以上间距，防止岩堆埋住机械及大石块滚落砸坏机械。</w:t>
      </w:r>
    </w:p>
    <w:p w14:paraId="237DFBF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val="en-US" w:eastAsia="zh-CN"/>
        </w:rPr>
        <w:t>2、</w:t>
      </w:r>
      <w:r>
        <w:rPr>
          <w:rFonts w:hint="eastAsia" w:ascii="仿宋" w:hAnsi="仿宋" w:eastAsia="仿宋" w:cs="仿宋"/>
          <w:color w:val="auto"/>
          <w:kern w:val="0"/>
          <w:sz w:val="28"/>
          <w:szCs w:val="20"/>
          <w:lang w:eastAsia="zh-CN"/>
        </w:rPr>
        <w:t>挖装石方过程中必须用推土机配合，将散落或遗留石方，推铲移送至铲斗能挖掘的范围内，并及时平整挖掘作业面的场地。为挖掘机前进移动及运送车辆倒车创造条件。散落或遗留石方，推铲移送至铲斗能挖掘的范围内，并及时平整挖掘作业面的场地，为挖掘机前进移动及运输车辆倒车行驶创造条件</w:t>
      </w:r>
    </w:p>
    <w:p w14:paraId="55FAB0B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val="en-US" w:eastAsia="zh-CN"/>
        </w:rPr>
        <w:t>3</w:t>
      </w:r>
      <w:r>
        <w:rPr>
          <w:rFonts w:hint="eastAsia" w:ascii="仿宋" w:hAnsi="仿宋" w:eastAsia="仿宋" w:cs="仿宋"/>
          <w:color w:val="auto"/>
          <w:kern w:val="0"/>
          <w:sz w:val="28"/>
          <w:szCs w:val="20"/>
          <w:lang w:eastAsia="zh-CN"/>
        </w:rPr>
        <w:t>、挖装与转向应正确分开，专向前将斗柄稍行回收，避免铲斗尚未离开挖掘面时即行转向，铲斗碰住石方使挖掘机忽然受载，以及各部件因受力不正常发生损坏。</w:t>
      </w:r>
    </w:p>
    <w:p w14:paraId="6623F090">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val="en-US" w:eastAsia="zh-CN"/>
        </w:rPr>
        <w:t>4</w:t>
      </w:r>
      <w:r>
        <w:rPr>
          <w:rFonts w:hint="eastAsia" w:ascii="仿宋" w:hAnsi="仿宋" w:eastAsia="仿宋" w:cs="仿宋"/>
          <w:color w:val="auto"/>
          <w:kern w:val="0"/>
          <w:sz w:val="28"/>
          <w:szCs w:val="20"/>
          <w:lang w:eastAsia="zh-CN"/>
        </w:rPr>
        <w:t>、铲斗切入石方时，收斗钢丝提升速度要慢。当钢丝绳拉紧后方可吃负荷挖装，挖装不动时，作收斗提升动作将岩石撬起。收斗太快易拉断钢丝绳</w:t>
      </w:r>
    </w:p>
    <w:p w14:paraId="4E729248">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val="en-US" w:eastAsia="zh-CN"/>
        </w:rPr>
        <w:t>6</w:t>
      </w:r>
      <w:r>
        <w:rPr>
          <w:rFonts w:hint="eastAsia" w:ascii="仿宋" w:hAnsi="仿宋" w:eastAsia="仿宋" w:cs="仿宋"/>
          <w:color w:val="auto"/>
          <w:kern w:val="0"/>
          <w:sz w:val="28"/>
          <w:szCs w:val="20"/>
          <w:lang w:eastAsia="zh-CN"/>
        </w:rPr>
        <w:t>、当处理大石块或处理边坡危石时，必须将挖掘机转移到安全地方方可进行。</w:t>
      </w:r>
    </w:p>
    <w:p w14:paraId="5C0F8A7B">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val="en-US" w:eastAsia="zh-CN"/>
        </w:rPr>
        <w:t>6、</w:t>
      </w:r>
      <w:r>
        <w:rPr>
          <w:rFonts w:hint="eastAsia" w:ascii="仿宋" w:hAnsi="仿宋" w:eastAsia="仿宋" w:cs="仿宋"/>
          <w:color w:val="auto"/>
          <w:kern w:val="0"/>
          <w:sz w:val="28"/>
          <w:szCs w:val="20"/>
          <w:lang w:eastAsia="zh-CN"/>
        </w:rPr>
        <w:t>自卸汽车施工</w:t>
      </w:r>
    </w:p>
    <w:p w14:paraId="1112E64D">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1)取土场汽车运行路线布置</w:t>
      </w:r>
    </w:p>
    <w:p w14:paraId="3B31892E">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①正铲挖掘枫作侧向开挖时，运土汽车在机侧位置装土②正铲挖掘枧作侧向开挖时，运土汽车在机后位置装土③正铲挖掘机作中心开挖时，运土汽车在机侧位置装土</w:t>
      </w:r>
    </w:p>
    <w:p w14:paraId="691CF18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自卸汽车运土A、斜层填筑法。适用于地形较陡处填筑。填筑顺序先近后远。自卸车在卸土边缘卸土，并用推土机卸土坪的平整作业。B、平层填筑法。填筑顺序为先远后近，自卸车在卸土场上密集倒土，然后由推土机平整，压实机械压实。卸土、平整及压实作业和、可同时进行，无千扰。</w:t>
      </w:r>
    </w:p>
    <w:p w14:paraId="3CF57CF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C、卸土场自卸汽车运行路线的布置</w:t>
      </w:r>
    </w:p>
    <w:p w14:paraId="6F264ED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不论采用平层或斜层填筑施工，在卸土厂上必须有足够的卸土坪面积，供运土汽车向运行及推土机进行平整作业。当填筑面积大时可采用分区施工，将卸土场划分为两个或多个作业区，轮流进行卸土及平整碾压，避免作业相互千扰。</w:t>
      </w:r>
    </w:p>
    <w:p w14:paraId="70CC308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D、自卸汽车需要量的计算</w:t>
      </w:r>
    </w:p>
    <w:p w14:paraId="79F98572">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自卸汽车配合装载机施工，汽车的容量一般为铲斗的3~4倍。所以需车辆用传统方法进行计算。</w:t>
      </w:r>
    </w:p>
    <w:p w14:paraId="2E5F06C5">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传统方法计算的实质是在保证不停歇地连续装车条件下，来计算自卸汽车的需要量，即N=T/t。(辆)</w:t>
      </w:r>
    </w:p>
    <w:p w14:paraId="214BCF1F">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式中:T一自卸汽车装运一次涂得平均循环时间，其中包括装车时间、重车运行时间、卸土时间(含调车转向及卸车时间)及空回运行时间。</w:t>
      </w:r>
    </w:p>
    <w:p w14:paraId="14F9AF99">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T，--装车时间，其值等于调车时间和装车时间之和。</w:t>
      </w:r>
    </w:p>
    <w:p w14:paraId="18CFAA48">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0"/>
          <w:sz w:val="28"/>
          <w:szCs w:val="28"/>
          <w:lang w:val="en-US" w:eastAsia="zh-CN" w:bidi="ar-SA"/>
        </w:rPr>
      </w:pPr>
      <w:r>
        <w:rPr>
          <w:rFonts w:hint="eastAsia" w:ascii="仿宋" w:hAnsi="仿宋" w:eastAsia="仿宋" w:cs="仿宋"/>
          <w:b/>
          <w:bCs/>
          <w:snapToGrid w:val="0"/>
          <w:color w:val="auto"/>
          <w:kern w:val="0"/>
          <w:sz w:val="28"/>
          <w:szCs w:val="28"/>
          <w:lang w:val="en-US" w:eastAsia="zh-CN" w:bidi="ar-SA"/>
        </w:rPr>
        <w:t>第十一节、运输车辆管理</w:t>
      </w:r>
    </w:p>
    <w:p w14:paraId="377DB72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1、在工地出土期间，严格控制渣土装载量。本工程渣土运输车实行平槽装运，渣土装载的高度不得超过车辆侧帮，尾部渣土不得压帮。</w:t>
      </w:r>
    </w:p>
    <w:p w14:paraId="3FFEA3B1">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2、渣土运输车辆安装密闭装置。工地出口安装自动冲洗设施，渣土运输车辆驶离工地前进行车轮冲洗。渣土运输车辆凡有超装超载、无密闭装置或未进行车轮冲洗的，立即停工整改。出土期间，设专人对运输车辆进行管理，并安排专人清扫工地门口及周边道路，以保持工地周边道路环境整洁。</w:t>
      </w:r>
    </w:p>
    <w:p w14:paraId="3254547A">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3、对于车辆的密闭装置严格管理，必须保持密闭装置的完整性对于破口、开线、散架的密闭装置及时修复，否则不得进入本工地拉士。密闭装置六个月内进行一次维修，以保持密闭装置使用完好有效</w:t>
      </w:r>
    </w:p>
    <w:p w14:paraId="2F7B5ED6">
      <w:pPr>
        <w:spacing w:line="600" w:lineRule="auto"/>
        <w:ind w:firstLine="560" w:firstLineChars="200"/>
        <w:rPr>
          <w:rFonts w:hint="eastAsia" w:ascii="仿宋" w:hAnsi="仿宋" w:eastAsia="仿宋" w:cs="仿宋"/>
          <w:color w:val="auto"/>
          <w:kern w:val="0"/>
          <w:sz w:val="28"/>
          <w:szCs w:val="20"/>
          <w:lang w:eastAsia="zh-CN"/>
        </w:rPr>
      </w:pPr>
      <w:r>
        <w:rPr>
          <w:rFonts w:hint="eastAsia" w:ascii="仿宋" w:hAnsi="仿宋" w:eastAsia="仿宋" w:cs="仿宋"/>
          <w:color w:val="auto"/>
          <w:kern w:val="0"/>
          <w:sz w:val="28"/>
          <w:szCs w:val="20"/>
          <w:lang w:eastAsia="zh-CN"/>
        </w:rPr>
        <w:t>4、所有渣土车驾驶员必须有证(B证)驾驶，渣土车也必须有行驶证、渣土准运证、营运证等相关证件。车辆出入场地车辆信息要经项目部保安登记，未经登记一律不允许进入施工现场。</w:t>
      </w:r>
    </w:p>
    <w:p w14:paraId="10817AB6">
      <w:pPr>
        <w:keepNext w:val="0"/>
        <w:keepLines w:val="0"/>
        <w:pageBreakBefore w:val="0"/>
        <w:widowControl/>
        <w:kinsoku/>
        <w:wordWrap/>
        <w:overflowPunct/>
        <w:autoSpaceDE w:val="0"/>
        <w:autoSpaceDN w:val="0"/>
        <w:bidi w:val="0"/>
        <w:adjustRightInd w:val="0"/>
        <w:snapToGrid w:val="0"/>
        <w:spacing w:before="0" w:beforeLines="0" w:after="0" w:afterLines="0" w:line="600" w:lineRule="auto"/>
        <w:ind w:firstLine="562" w:firstLineChars="200"/>
        <w:jc w:val="left"/>
        <w:textAlignment w:val="baseline"/>
        <w:outlineLvl w:val="2"/>
        <w:rPr>
          <w:rFonts w:hint="eastAsia" w:ascii="仿宋" w:hAnsi="仿宋" w:eastAsia="仿宋" w:cs="仿宋"/>
          <w:b/>
          <w:bCs/>
          <w:snapToGrid w:val="0"/>
          <w:color w:val="auto"/>
          <w:kern w:val="2"/>
          <w:sz w:val="28"/>
          <w:szCs w:val="28"/>
          <w:lang w:val="en-US" w:eastAsia="en-US" w:bidi="ar-SA"/>
        </w:rPr>
      </w:pPr>
      <w:r>
        <w:rPr>
          <w:rFonts w:hint="eastAsia" w:ascii="仿宋" w:hAnsi="仿宋" w:eastAsia="仿宋" w:cs="仿宋"/>
          <w:b/>
          <w:bCs/>
          <w:snapToGrid w:val="0"/>
          <w:color w:val="auto"/>
          <w:kern w:val="2"/>
          <w:sz w:val="28"/>
          <w:szCs w:val="28"/>
          <w:lang w:val="en-US" w:eastAsia="en-US" w:bidi="ar-SA"/>
        </w:rPr>
        <w:t>第</w:t>
      </w:r>
      <w:r>
        <w:rPr>
          <w:rFonts w:hint="eastAsia" w:ascii="仿宋" w:hAnsi="仿宋" w:eastAsia="仿宋" w:cs="仿宋"/>
          <w:b/>
          <w:bCs/>
          <w:snapToGrid w:val="0"/>
          <w:color w:val="auto"/>
          <w:kern w:val="2"/>
          <w:sz w:val="28"/>
          <w:szCs w:val="28"/>
          <w:lang w:val="en-US" w:eastAsia="zh-CN" w:bidi="ar-SA"/>
        </w:rPr>
        <w:t>十二</w:t>
      </w:r>
      <w:r>
        <w:rPr>
          <w:rFonts w:hint="eastAsia" w:ascii="仿宋" w:hAnsi="仿宋" w:eastAsia="仿宋" w:cs="仿宋"/>
          <w:b/>
          <w:bCs/>
          <w:snapToGrid w:val="0"/>
          <w:color w:val="auto"/>
          <w:kern w:val="2"/>
          <w:sz w:val="28"/>
          <w:szCs w:val="28"/>
          <w:lang w:val="en-US" w:eastAsia="en-US" w:bidi="ar-SA"/>
        </w:rPr>
        <w:t>节、垃圾清运</w:t>
      </w:r>
      <w:bookmarkEnd w:id="57"/>
      <w:bookmarkEnd w:id="58"/>
      <w:bookmarkEnd w:id="59"/>
      <w:bookmarkEnd w:id="60"/>
      <w:bookmarkEnd w:id="61"/>
      <w:bookmarkEnd w:id="62"/>
    </w:p>
    <w:p w14:paraId="74FC14A2">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垃圾清运采用挖掘机或装载机装车，带有盖的自卸车外运，人工配合清理现场机械清理不到的部分。</w:t>
      </w:r>
    </w:p>
    <w:p w14:paraId="24B82AA7">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1、事先将垃圾进行分类，建筑工地垃圾：分为建筑碎料以及木材、纸、金属和其他废料等类型。将废料统一进行堆放，配备专业清运工人进行清运处理。且分类堆放应符合下列要求：</w:t>
      </w:r>
    </w:p>
    <w:p w14:paraId="7FD7BC6B">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（1）施工垃圾可采取露天或室内堆放方式，露天堆放的施工垃圾应及时苫盖，避免雨淋和减少扬尘。</w:t>
      </w:r>
    </w:p>
    <w:p w14:paraId="6D405BF6">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（2）施工垃圾堆放区应至少保证3天以上的施工垃圾临时贮存能力。如无专用提升设施，施工垃圾堆放高度不宜超过3m。</w:t>
      </w:r>
    </w:p>
    <w:p w14:paraId="17A20F29">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（3）施工垃圾堆放区地坪标高应高于周围场地不小于15cm，堆放区四周应设置排水沟，满足场地雨水导排要求。</w:t>
      </w:r>
    </w:p>
    <w:p w14:paraId="17CD2E10">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（4）放区应设置明显的分类堆放标志。</w:t>
      </w:r>
    </w:p>
    <w:p w14:paraId="7BBB2C8C">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2、施工垃圾运输单位必须经当地施工垃圾管理部门核准，并应满足如下要求：</w:t>
      </w:r>
    </w:p>
    <w:p w14:paraId="1D67C0A6">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（1）运输车辆应有合法的行驶证，并通过年审；</w:t>
      </w:r>
    </w:p>
    <w:p w14:paraId="68C2AB9A">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（2）运输单位应具有当地主管部门颁发的准运证或营运证；</w:t>
      </w:r>
    </w:p>
    <w:p w14:paraId="78D0DE28">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（3）具有垃圾经营性运输服务资质。</w:t>
      </w:r>
    </w:p>
    <w:p w14:paraId="00B8B45E">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3、垃圾运输车辆应按核准的路线和时间行驶，并到核准的地点处理处置施工垃圾。具体要求如下：</w:t>
      </w:r>
    </w:p>
    <w:p w14:paraId="6F709036">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（1）垃圾运输车运行时间安排应避开交通高峰时段，以减少对交通的影响；</w:t>
      </w:r>
    </w:p>
    <w:p w14:paraId="44A3BB27">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（2）垃圾运输车辆的运输路线，应由当地施工垃圾主管部门会同交通管理部门规定；</w:t>
      </w:r>
    </w:p>
    <w:p w14:paraId="78FE6A4D">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（3）运输单位将施工垃圾倾倒在核准的处理地点后，应取得受纳场地管理单位签发的回执，交送当地施工垃圾主管部门查验。</w:t>
      </w:r>
    </w:p>
    <w:p w14:paraId="36774A68">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4、施工垃圾运输车辆型式和载重量选择应遵循如下原则：</w:t>
      </w:r>
    </w:p>
    <w:p w14:paraId="522248C2">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zh-CN" w:bidi="ar-SA"/>
        </w:rPr>
        <w:t>垃圾</w:t>
      </w:r>
      <w:r>
        <w:rPr>
          <w:rFonts w:hint="eastAsia" w:ascii="仿宋" w:hAnsi="仿宋" w:eastAsia="仿宋" w:cs="仿宋"/>
          <w:snapToGrid w:val="0"/>
          <w:color w:val="auto"/>
          <w:kern w:val="2"/>
          <w:sz w:val="28"/>
          <w:szCs w:val="28"/>
          <w:lang w:val="en-US" w:eastAsia="en-US" w:bidi="ar-SA"/>
        </w:rPr>
        <w:t>运输宜采用载重量大于8t的密封式货车；</w:t>
      </w:r>
    </w:p>
    <w:p w14:paraId="7075E916">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5、垃圾运输车厢盖应采用机械密闭装置，开启、关闭时动作应平稳灵活、无卡滞、冲击现象。</w:t>
      </w:r>
    </w:p>
    <w:p w14:paraId="5E7E23F3">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（1）厢盖与厢盖、厢盖与车厢侧栏板缝隙不应大于30mm；</w:t>
      </w:r>
    </w:p>
    <w:p w14:paraId="028247EF">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（2）厢盖与车厢前、后拦板缝隙不应大于50mm；</w:t>
      </w:r>
    </w:p>
    <w:p w14:paraId="36C7C3D9">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（3）卸料门与车厢栏板、底板结合处缝隙不应大于10mm。</w:t>
      </w:r>
    </w:p>
    <w:p w14:paraId="1A347032">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6、垃圾运输车辆应容貌整洁、外观完整、标志齐全。</w:t>
      </w:r>
    </w:p>
    <w:p w14:paraId="32E9E525">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(1）车辆车窗、挡风玻璃、反光镜、车灯应明亮，无浮尘、无污迹；</w:t>
      </w:r>
    </w:p>
    <w:p w14:paraId="69BAC30A">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(2)车辆车牌号应清晰、无明显污渍，距车牌15 m处应能清晰分辨车牌上的字迹；</w:t>
      </w:r>
    </w:p>
    <w:p w14:paraId="46DB124F">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(3)车厢厢体、厢盖外表面应光滑平整，无明显的凹陷和变形。车厢外部锈蚀或油漆剥落单块面积不得超过0.01m2，总面积不得超过0.05m2；</w:t>
      </w:r>
    </w:p>
    <w:p w14:paraId="0A46993C">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（4）车辆底盘无大块泥沙等附着物，轻轻敲打时，应无块状泥沙等污渍脱落。</w:t>
      </w:r>
    </w:p>
    <w:p w14:paraId="6A7C6D77">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（5）垃圾装载高度应低于车厢栏板高度，装载量不得超过车辆额定载重量。</w:t>
      </w:r>
    </w:p>
    <w:p w14:paraId="54DF96D6">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（6）车辆装载完毕后，厢盖应关闭到位，并检查车厢卸料门锁紧装置，保证锁紧有效、可靠。</w:t>
      </w:r>
    </w:p>
    <w:p w14:paraId="0CC74D20">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（7）车厢液压举升机构及厢盖液压、启闭机构的液压部件各结合面无明显渗漏.</w:t>
      </w:r>
    </w:p>
    <w:p w14:paraId="721329BD">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（8） 运输单位应定期对车辆进行维护和检测，保证车况完好。</w:t>
      </w:r>
    </w:p>
    <w:p w14:paraId="0E1CCBC4">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7.清运中注意的问题：</w:t>
      </w:r>
    </w:p>
    <w:p w14:paraId="1FBFC114">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（1）清理垃圾时使用容器吊运，严禁随意凌空抛撤造成扬尘。垃圾及时清运，清运时，适量洒水减少扬尘。</w:t>
      </w:r>
    </w:p>
    <w:p w14:paraId="63B41FAA">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en-US" w:bidi="ar-SA"/>
        </w:rPr>
      </w:pPr>
      <w:r>
        <w:rPr>
          <w:rFonts w:hint="eastAsia" w:ascii="仿宋" w:hAnsi="仿宋" w:eastAsia="仿宋" w:cs="仿宋"/>
          <w:snapToGrid w:val="0"/>
          <w:color w:val="auto"/>
          <w:kern w:val="2"/>
          <w:sz w:val="28"/>
          <w:szCs w:val="28"/>
          <w:lang w:val="en-US" w:eastAsia="en-US" w:bidi="ar-SA"/>
        </w:rPr>
        <w:t>（2）易飞扬的废料尽量保持湿润，如露天存放时采用严密苫盖。运输和卸运时防止遗洒飞扬。</w:t>
      </w:r>
    </w:p>
    <w:p w14:paraId="2F703232">
      <w:pPr>
        <w:keepNext w:val="0"/>
        <w:keepLines w:val="0"/>
        <w:pageBreakBefore w:val="0"/>
        <w:widowControl/>
        <w:kinsoku/>
        <w:wordWrap/>
        <w:overflowPunct/>
        <w:autoSpaceDE w:val="0"/>
        <w:autoSpaceDN w:val="0"/>
        <w:bidi w:val="0"/>
        <w:adjustRightInd w:val="0"/>
        <w:snapToGrid w:val="0"/>
        <w:spacing w:after="0" w:line="600" w:lineRule="auto"/>
        <w:ind w:firstLine="560" w:firstLineChars="200"/>
        <w:textAlignment w:val="baseline"/>
        <w:rPr>
          <w:rFonts w:hint="eastAsia" w:ascii="仿宋" w:hAnsi="仿宋" w:eastAsia="仿宋" w:cs="仿宋"/>
          <w:snapToGrid w:val="0"/>
          <w:color w:val="auto"/>
          <w:kern w:val="2"/>
          <w:sz w:val="28"/>
          <w:szCs w:val="28"/>
          <w:lang w:val="en-US" w:eastAsia="zh-CN" w:bidi="ar-SA"/>
        </w:rPr>
      </w:pPr>
      <w:r>
        <w:rPr>
          <w:rFonts w:hint="eastAsia" w:ascii="仿宋" w:hAnsi="仿宋" w:eastAsia="仿宋" w:cs="仿宋"/>
          <w:snapToGrid w:val="0"/>
          <w:color w:val="auto"/>
          <w:kern w:val="2"/>
          <w:sz w:val="28"/>
          <w:szCs w:val="28"/>
          <w:lang w:val="en-US" w:eastAsia="en-US" w:bidi="ar-SA"/>
        </w:rPr>
        <w:t>（3）在清运过程中应注意安全。</w:t>
      </w:r>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PGothic">
    <w:panose1 w:val="020B0600070205080204"/>
    <w:charset w:val="80"/>
    <w:family w:val="auto"/>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9F74B">
    <w:pPr>
      <w:spacing w:line="169" w:lineRule="auto"/>
      <w:ind w:left="4044"/>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5" name="文本框 2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B74E1">
                          <w:pPr>
                            <w:pStyle w:val="5"/>
                          </w:pPr>
                          <w:r>
                            <w:fldChar w:fldCharType="begin"/>
                          </w:r>
                          <w:r>
                            <w:instrText xml:space="preserve"> PAGE  \* MERGEFORMAT </w:instrText>
                          </w:r>
                          <w:r>
                            <w:fldChar w:fldCharType="separate"/>
                          </w:r>
                          <w:r>
                            <w:t>126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aZl680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pFSWGaZT8/OP7&#10;+efv869vJB1CotqFOSIfHGJj8842aJzhPOAwMW9Kr9MXnAj8EPh0EVg0kfB0aTadzcZwcfiGDfCz&#10;p+vOh/heWE2SkVOPCrbCsuM2xC50CEnZjN1IpdoqKkPqnF6/vRq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GmZevNAIAAGUEAAAOAAAAAAAAAAEAIAAAAB8BAABkcnMvZTJvRG9jLnhtbFBL&#10;BQYAAAAABgAGAFkBAADFBQAAAAA=&#10;">
              <v:fill on="f" focussize="0,0"/>
              <v:stroke on="f" weight="0.5pt"/>
              <v:imagedata o:title=""/>
              <o:lock v:ext="edit" aspectratio="f"/>
              <v:textbox inset="0mm,0mm,0mm,0mm" style="mso-fit-shape-to-text:t;">
                <w:txbxContent>
                  <w:p w14:paraId="031B74E1">
                    <w:pPr>
                      <w:pStyle w:val="5"/>
                    </w:pPr>
                    <w:r>
                      <w:fldChar w:fldCharType="begin"/>
                    </w:r>
                    <w:r>
                      <w:instrText xml:space="preserve"> PAGE  \* MERGEFORMAT </w:instrText>
                    </w:r>
                    <w:r>
                      <w:fldChar w:fldCharType="separate"/>
                    </w:r>
                    <w:r>
                      <w:t>126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70197">
    <w:pPr>
      <w:pStyle w:val="6"/>
      <w:jc w:val="right"/>
    </w:pPr>
    <w:r>
      <w:rPr>
        <w:rFonts w:hint="eastAsia" w:ascii="仿宋" w:hAnsi="仿宋" w:eastAsia="仿宋" w:cs="仿宋"/>
        <w:bCs/>
        <w:color w:val="auto"/>
        <w:kern w:val="0"/>
        <w:sz w:val="24"/>
        <w:szCs w:val="24"/>
        <w:lang w:val="en-US" w:eastAsia="zh-CN"/>
      </w:rPr>
      <w:t>**垃圾清运服务项目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DF1B12"/>
    <w:rsid w:val="03FA5136"/>
    <w:rsid w:val="18DF1B12"/>
    <w:rsid w:val="2AD6586E"/>
    <w:rsid w:val="37A77729"/>
    <w:rsid w:val="43D25D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after="330" w:afterLines="0" w:line="360" w:lineRule="auto"/>
      <w:jc w:val="center"/>
      <w:outlineLvl w:val="0"/>
    </w:pPr>
    <w:rPr>
      <w:rFonts w:ascii="宋体" w:hAnsi="宋体" w:eastAsia="宋体" w:cs="宋体"/>
      <w:sz w:val="28"/>
    </w:rPr>
  </w:style>
  <w:style w:type="paragraph" w:styleId="3">
    <w:name w:val="heading 3"/>
    <w:basedOn w:val="1"/>
    <w:next w:val="1"/>
    <w:qFormat/>
    <w:uiPriority w:val="0"/>
    <w:pPr>
      <w:keepNext/>
      <w:keepLines/>
      <w:spacing w:before="260" w:beforeLines="0" w:after="260" w:afterLines="0" w:line="416" w:lineRule="auto"/>
      <w:jc w:val="left"/>
      <w:outlineLvl w:val="2"/>
    </w:pPr>
    <w:rPr>
      <w:rFonts w:eastAsia="黑体"/>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next w:val="1"/>
    <w:semiHidden/>
    <w:qFormat/>
    <w:uiPriority w:val="0"/>
    <w:rPr>
      <w:rFonts w:ascii="Arial" w:hAnsi="Arial" w:eastAsia="Arial" w:cs="Arial"/>
      <w:sz w:val="21"/>
      <w:szCs w:val="21"/>
      <w:lang w:val="en-US" w:eastAsia="en-US" w:bidi="ar-SA"/>
    </w:rPr>
  </w:style>
  <w:style w:type="paragraph" w:styleId="5">
    <w:name w:val="footer"/>
    <w:basedOn w:val="1"/>
    <w:next w:val="4"/>
    <w:qFormat/>
    <w:uiPriority w:val="99"/>
    <w:pPr>
      <w:tabs>
        <w:tab w:val="center" w:pos="4153"/>
        <w:tab w:val="right" w:pos="8306"/>
      </w:tabs>
      <w:snapToGrid w:val="0"/>
      <w:jc w:val="left"/>
    </w:pPr>
    <w:rPr>
      <w:rFonts w:ascii="Times New Roman" w:hAnsi="Times New Roman"/>
      <w:sz w:val="18"/>
      <w:szCs w:val="20"/>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95</Pages>
  <Words>37949</Words>
  <Characters>39000</Characters>
  <Lines>0</Lines>
  <Paragraphs>0</Paragraphs>
  <TotalTime>2</TotalTime>
  <ScaleCrop>false</ScaleCrop>
  <LinksUpToDate>false</LinksUpToDate>
  <CharactersWithSpaces>39381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2026-10-29T09:39:00Z</dcterms:created>
  <dc:creator>damin</dc:creator>
  <cp:lastModifiedBy>1</cp:lastModifiedBy>
  <dcterms:modified xsi:type="dcterms:W3CDTF">2026-11-02T04:31:06Z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7C83D2F6AFB4476DA41E71B116DB25E4_11</vt:lpwstr>
  </property>
  <property fmtid="{D5CDD505-2E9C-101B-9397-08002B2CF9AE}" pid="4" name="KSOTemplateDocerSaveRecord">
    <vt:lpwstr>eyJoZGlkIjoiYzg2ZWJlYTA2N2YyMTRiNmM3MTYwYTNlOGRhY2IyMTQiLCJ1c2VySWQiOiIzNzQ4MzE0MzYifQ==</vt:lpwstr>
  </property>
</Properties>
</file>